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4E1" w:rsidRPr="004F3629" w:rsidRDefault="00412003" w:rsidP="004F3629">
      <w:pPr>
        <w:jc w:val="center"/>
        <w:rPr>
          <w:rFonts w:ascii="Garamond" w:hAnsi="Garamond" w:cs="Traditional Arabic"/>
          <w:sz w:val="28"/>
          <w:szCs w:val="28"/>
          <w:rtl/>
          <w:lang w:bidi="ar-EG"/>
        </w:rPr>
      </w:pPr>
      <w:r w:rsidRPr="00696768">
        <w:rPr>
          <w:rFonts w:ascii="Garamond" w:hAnsi="Garamond" w:cs="Traditional Arabic"/>
          <w:b/>
          <w:bCs/>
          <w:sz w:val="40"/>
          <w:szCs w:val="40"/>
          <w:lang w:bidi="ar-EG"/>
        </w:rPr>
        <w:t xml:space="preserve">On Living Hadith in Indonesia: </w:t>
      </w:r>
      <w:r w:rsidR="00696768" w:rsidRPr="00696768">
        <w:rPr>
          <w:rFonts w:ascii="Garamond" w:hAnsi="Garamond" w:cs="Traditional Arabic"/>
          <w:b/>
          <w:bCs/>
          <w:sz w:val="40"/>
          <w:szCs w:val="40"/>
          <w:lang w:bidi="ar-EG"/>
        </w:rPr>
        <w:t xml:space="preserve">A Brief Critique of Methodology in Hadith Studies </w:t>
      </w:r>
    </w:p>
    <w:p w:rsidR="00FB14E1" w:rsidRPr="008A0856" w:rsidRDefault="00FB14E1" w:rsidP="00FB14E1">
      <w:pPr>
        <w:jc w:val="center"/>
        <w:rPr>
          <w:rFonts w:ascii="Georgia" w:hAnsi="Georgia" w:cs="Traditional Arabic"/>
          <w:rtl/>
          <w:lang w:bidi="ar-EG"/>
        </w:rPr>
      </w:pPr>
    </w:p>
    <w:p w:rsidR="00FB14E1" w:rsidRPr="00696768" w:rsidRDefault="00FB14E1" w:rsidP="00FB14E1">
      <w:pPr>
        <w:jc w:val="center"/>
        <w:rPr>
          <w:rFonts w:ascii="Garamond" w:hAnsi="Garamond" w:cs="Traditional Arabic"/>
          <w:b/>
          <w:bCs/>
          <w:sz w:val="28"/>
          <w:szCs w:val="28"/>
          <w:rtl/>
          <w:lang w:bidi="ar-EG"/>
        </w:rPr>
      </w:pPr>
    </w:p>
    <w:p w:rsidR="00FB14E1" w:rsidRPr="00696768" w:rsidRDefault="00FB14E1" w:rsidP="00696768">
      <w:pPr>
        <w:jc w:val="center"/>
        <w:rPr>
          <w:rFonts w:ascii="Garamond" w:hAnsi="Garamond"/>
          <w:b/>
          <w:bCs/>
          <w:sz w:val="28"/>
          <w:szCs w:val="28"/>
          <w:lang w:bidi="ar-EG"/>
        </w:rPr>
      </w:pPr>
      <w:proofErr w:type="spellStart"/>
      <w:r w:rsidRPr="00696768">
        <w:rPr>
          <w:rFonts w:ascii="Garamond" w:hAnsi="Garamond"/>
          <w:b/>
          <w:bCs/>
          <w:sz w:val="28"/>
          <w:szCs w:val="28"/>
          <w:lang w:bidi="ar-EG"/>
        </w:rPr>
        <w:t>Saadeldin</w:t>
      </w:r>
      <w:proofErr w:type="spellEnd"/>
      <w:r w:rsidRPr="00696768">
        <w:rPr>
          <w:rFonts w:ascii="Garamond" w:hAnsi="Garamond"/>
          <w:b/>
          <w:bCs/>
          <w:sz w:val="28"/>
          <w:szCs w:val="28"/>
          <w:lang w:bidi="ar-EG"/>
        </w:rPr>
        <w:t xml:space="preserve"> Mansour </w:t>
      </w:r>
      <w:proofErr w:type="spellStart"/>
      <w:r w:rsidRPr="00696768">
        <w:rPr>
          <w:rFonts w:ascii="Garamond" w:hAnsi="Garamond"/>
          <w:b/>
          <w:bCs/>
          <w:sz w:val="28"/>
          <w:szCs w:val="28"/>
          <w:lang w:bidi="ar-EG"/>
        </w:rPr>
        <w:t>Gasmelsid</w:t>
      </w:r>
      <w:proofErr w:type="spellEnd"/>
      <w:r w:rsidR="00696768" w:rsidRPr="00696768">
        <w:rPr>
          <w:rFonts w:ascii="Garamond" w:hAnsi="Garamond"/>
          <w:b/>
          <w:bCs/>
          <w:sz w:val="28"/>
          <w:szCs w:val="28"/>
          <w:lang w:bidi="ar-EG"/>
        </w:rPr>
        <w:t xml:space="preserve">, </w:t>
      </w:r>
      <w:proofErr w:type="spellStart"/>
      <w:r w:rsidR="00696768" w:rsidRPr="00696768">
        <w:rPr>
          <w:rFonts w:ascii="Garamond" w:hAnsi="Garamond"/>
          <w:b/>
          <w:bCs/>
          <w:sz w:val="28"/>
          <w:szCs w:val="28"/>
          <w:lang w:bidi="ar-EG"/>
        </w:rPr>
        <w:t>Khairil</w:t>
      </w:r>
      <w:proofErr w:type="spellEnd"/>
      <w:r w:rsidR="00696768" w:rsidRPr="00696768">
        <w:rPr>
          <w:rFonts w:ascii="Garamond" w:hAnsi="Garamond"/>
          <w:b/>
          <w:bCs/>
          <w:sz w:val="28"/>
          <w:szCs w:val="28"/>
          <w:lang w:bidi="ar-EG"/>
        </w:rPr>
        <w:t xml:space="preserve"> </w:t>
      </w:r>
      <w:proofErr w:type="spellStart"/>
      <w:r w:rsidR="00696768" w:rsidRPr="00696768">
        <w:rPr>
          <w:rFonts w:ascii="Garamond" w:hAnsi="Garamond"/>
          <w:b/>
          <w:bCs/>
          <w:sz w:val="28"/>
          <w:szCs w:val="28"/>
          <w:lang w:bidi="ar-EG"/>
        </w:rPr>
        <w:t>Husaini</w:t>
      </w:r>
      <w:proofErr w:type="spellEnd"/>
      <w:r w:rsidR="00696768" w:rsidRPr="00696768">
        <w:rPr>
          <w:rFonts w:ascii="Garamond" w:hAnsi="Garamond"/>
          <w:b/>
          <w:bCs/>
          <w:sz w:val="28"/>
          <w:szCs w:val="28"/>
          <w:lang w:bidi="ar-EG"/>
        </w:rPr>
        <w:t xml:space="preserve"> Bin </w:t>
      </w:r>
      <w:proofErr w:type="spellStart"/>
      <w:r w:rsidR="00696768" w:rsidRPr="00696768">
        <w:rPr>
          <w:rFonts w:ascii="Garamond" w:hAnsi="Garamond"/>
          <w:b/>
          <w:bCs/>
          <w:sz w:val="28"/>
          <w:szCs w:val="28"/>
          <w:lang w:bidi="ar-EG"/>
        </w:rPr>
        <w:t>Jamil</w:t>
      </w:r>
      <w:proofErr w:type="spellEnd"/>
      <w:r w:rsidR="00696768" w:rsidRPr="00696768">
        <w:rPr>
          <w:rFonts w:ascii="Garamond" w:hAnsi="Garamond"/>
          <w:b/>
          <w:bCs/>
          <w:sz w:val="28"/>
          <w:szCs w:val="28"/>
          <w:lang w:bidi="ar-EG"/>
        </w:rPr>
        <w:t xml:space="preserve">, </w:t>
      </w:r>
      <w:proofErr w:type="spellStart"/>
      <w:r w:rsidR="00696768" w:rsidRPr="00696768">
        <w:rPr>
          <w:rFonts w:ascii="Garamond" w:hAnsi="Garamond"/>
          <w:b/>
          <w:bCs/>
          <w:sz w:val="28"/>
          <w:szCs w:val="28"/>
          <w:lang w:bidi="ar-EG"/>
        </w:rPr>
        <w:t>Alhafidh</w:t>
      </w:r>
      <w:proofErr w:type="spellEnd"/>
      <w:r w:rsidR="00696768" w:rsidRPr="00696768">
        <w:rPr>
          <w:rFonts w:ascii="Garamond" w:hAnsi="Garamond"/>
          <w:b/>
          <w:bCs/>
          <w:sz w:val="28"/>
          <w:szCs w:val="28"/>
          <w:lang w:bidi="ar-EG"/>
        </w:rPr>
        <w:t xml:space="preserve"> </w:t>
      </w:r>
      <w:proofErr w:type="spellStart"/>
      <w:r w:rsidR="00696768" w:rsidRPr="00696768">
        <w:rPr>
          <w:rFonts w:ascii="Garamond" w:hAnsi="Garamond"/>
          <w:b/>
          <w:bCs/>
          <w:sz w:val="28"/>
          <w:szCs w:val="28"/>
          <w:lang w:bidi="ar-EG"/>
        </w:rPr>
        <w:t>Nasution</w:t>
      </w:r>
      <w:proofErr w:type="spellEnd"/>
    </w:p>
    <w:p w:rsidR="00696768" w:rsidRPr="00696768" w:rsidRDefault="00696768" w:rsidP="00696768">
      <w:pPr>
        <w:jc w:val="center"/>
        <w:rPr>
          <w:rFonts w:ascii="Garamond" w:hAnsi="Garamond"/>
          <w:b/>
          <w:bCs/>
          <w:lang w:bidi="ar-EG"/>
        </w:rPr>
      </w:pPr>
    </w:p>
    <w:p w:rsidR="00FB14E1" w:rsidRDefault="00FB14E1" w:rsidP="00696768">
      <w:pPr>
        <w:jc w:val="center"/>
        <w:rPr>
          <w:rFonts w:ascii="Garamond" w:hAnsi="Garamond"/>
          <w:lang w:bidi="ar-EG"/>
        </w:rPr>
      </w:pPr>
      <w:proofErr w:type="spellStart"/>
      <w:r w:rsidRPr="00696768">
        <w:rPr>
          <w:rFonts w:ascii="Garamond" w:hAnsi="Garamond"/>
          <w:lang w:bidi="ar-EG"/>
        </w:rPr>
        <w:t>Abdulhamid</w:t>
      </w:r>
      <w:proofErr w:type="spellEnd"/>
      <w:r w:rsidRPr="00696768">
        <w:rPr>
          <w:rFonts w:ascii="Garamond" w:hAnsi="Garamond"/>
          <w:lang w:bidi="ar-EG"/>
        </w:rPr>
        <w:t xml:space="preserve"> </w:t>
      </w:r>
      <w:proofErr w:type="spellStart"/>
      <w:r w:rsidRPr="00696768">
        <w:rPr>
          <w:rFonts w:ascii="Garamond" w:hAnsi="Garamond"/>
          <w:lang w:bidi="ar-EG"/>
        </w:rPr>
        <w:t>Abusulayman</w:t>
      </w:r>
      <w:proofErr w:type="spellEnd"/>
      <w:r w:rsidRPr="00696768">
        <w:rPr>
          <w:rFonts w:ascii="Garamond" w:hAnsi="Garamond"/>
          <w:lang w:bidi="ar-EG"/>
        </w:rPr>
        <w:t xml:space="preserve"> </w:t>
      </w:r>
      <w:proofErr w:type="spellStart"/>
      <w:r w:rsidRPr="00696768">
        <w:rPr>
          <w:rFonts w:ascii="Garamond" w:hAnsi="Garamond"/>
          <w:lang w:bidi="ar-EG"/>
        </w:rPr>
        <w:t>Kulliyyah</w:t>
      </w:r>
      <w:proofErr w:type="spellEnd"/>
      <w:r w:rsidRPr="00696768">
        <w:rPr>
          <w:rFonts w:ascii="Garamond" w:hAnsi="Garamond"/>
          <w:lang w:bidi="ar-EG"/>
        </w:rPr>
        <w:t xml:space="preserve"> of Islamic Revealed Knowledge and Human Sciences, International Islamic University Malaysia, Malaysia</w:t>
      </w:r>
    </w:p>
    <w:p w:rsidR="005C31FD" w:rsidRPr="00696768" w:rsidRDefault="005C31FD" w:rsidP="00696768">
      <w:pPr>
        <w:jc w:val="center"/>
        <w:rPr>
          <w:rFonts w:ascii="Garamond" w:hAnsi="Garamond"/>
          <w:lang w:bidi="ar-EG"/>
        </w:rPr>
      </w:pPr>
      <w:proofErr w:type="spellStart"/>
      <w:r w:rsidRPr="005C31FD">
        <w:rPr>
          <w:rFonts w:ascii="Garamond" w:hAnsi="Garamond"/>
          <w:lang w:bidi="ar-EG"/>
        </w:rPr>
        <w:t>Jln</w:t>
      </w:r>
      <w:proofErr w:type="spellEnd"/>
      <w:r w:rsidRPr="005C31FD">
        <w:rPr>
          <w:rFonts w:ascii="Garamond" w:hAnsi="Garamond"/>
          <w:lang w:bidi="ar-EG"/>
        </w:rPr>
        <w:t xml:space="preserve"> Gombak, 53100 Kuala Lumpur, Selangor</w:t>
      </w:r>
      <w:r>
        <w:rPr>
          <w:rFonts w:ascii="Garamond" w:hAnsi="Garamond"/>
          <w:lang w:bidi="ar-EG"/>
        </w:rPr>
        <w:t xml:space="preserve"> </w:t>
      </w:r>
    </w:p>
    <w:p w:rsidR="00FB14E1" w:rsidRPr="00696768" w:rsidRDefault="005C31FD" w:rsidP="005C31FD">
      <w:pPr>
        <w:jc w:val="center"/>
        <w:rPr>
          <w:rFonts w:ascii="Garamond" w:hAnsi="Garamond"/>
          <w:color w:val="0000FF" w:themeColor="hyperlink"/>
          <w:u w:val="single"/>
          <w:lang w:bidi="ar-EG"/>
        </w:rPr>
      </w:pPr>
      <w:proofErr w:type="gramStart"/>
      <w:r>
        <w:rPr>
          <w:rFonts w:ascii="Garamond" w:hAnsi="Garamond"/>
          <w:lang w:bidi="ar-EG"/>
        </w:rPr>
        <w:t>e-</w:t>
      </w:r>
      <w:r w:rsidR="00FB14E1" w:rsidRPr="00696768">
        <w:rPr>
          <w:rFonts w:ascii="Garamond" w:hAnsi="Garamond"/>
          <w:lang w:bidi="ar-EG"/>
        </w:rPr>
        <w:t>mail</w:t>
      </w:r>
      <w:proofErr w:type="gramEnd"/>
      <w:r w:rsidR="00FB14E1" w:rsidRPr="00696768">
        <w:rPr>
          <w:rFonts w:ascii="Garamond" w:hAnsi="Garamond"/>
          <w:lang w:bidi="ar-EG"/>
        </w:rPr>
        <w:t xml:space="preserve">: </w:t>
      </w:r>
      <w:hyperlink r:id="rId9" w:history="1">
        <w:r w:rsidR="00FB14E1" w:rsidRPr="00696768">
          <w:rPr>
            <w:rStyle w:val="Hyperlink"/>
            <w:rFonts w:ascii="Garamond" w:hAnsi="Garamond"/>
            <w:lang w:bidi="ar-EG"/>
          </w:rPr>
          <w:t>eldin@iium.edu.my</w:t>
        </w:r>
      </w:hyperlink>
      <w:r w:rsidR="00696768" w:rsidRPr="00696768">
        <w:rPr>
          <w:rStyle w:val="Hyperlink"/>
          <w:rFonts w:ascii="Garamond" w:hAnsi="Garamond"/>
          <w:lang w:bidi="ar-EG"/>
        </w:rPr>
        <w:t xml:space="preserve">, </w:t>
      </w:r>
      <w:hyperlink r:id="rId10" w:history="1">
        <w:r w:rsidR="00696768" w:rsidRPr="00696768">
          <w:rPr>
            <w:rStyle w:val="Hyperlink"/>
            <w:rFonts w:ascii="Garamond" w:hAnsi="Garamond"/>
            <w:lang w:bidi="ar-EG"/>
          </w:rPr>
          <w:t>husaini@iium.edu.my</w:t>
        </w:r>
      </w:hyperlink>
      <w:r w:rsidR="00696768" w:rsidRPr="00696768">
        <w:rPr>
          <w:rStyle w:val="Hyperlink"/>
          <w:rFonts w:ascii="Garamond" w:hAnsi="Garamond"/>
          <w:lang w:bidi="ar-EG"/>
        </w:rPr>
        <w:t xml:space="preserve">, </w:t>
      </w:r>
      <w:hyperlink r:id="rId11" w:history="1">
        <w:r w:rsidRPr="001D3F9D">
          <w:rPr>
            <w:rStyle w:val="Hyperlink"/>
          </w:rPr>
          <w:t>an.alhafidh@live.iium.edu.my</w:t>
        </w:r>
      </w:hyperlink>
      <w:r>
        <w:t xml:space="preserve"> </w:t>
      </w:r>
    </w:p>
    <w:p w:rsidR="00FB14E1" w:rsidRDefault="00FB14E1" w:rsidP="00FB14E1">
      <w:pPr>
        <w:rPr>
          <w:rStyle w:val="Hyperlink"/>
          <w:rFonts w:ascii="Georgia" w:hAnsi="Georgia"/>
          <w:lang w:bidi="ar-EG"/>
        </w:rPr>
      </w:pPr>
    </w:p>
    <w:p w:rsidR="00FB14E1" w:rsidRPr="000B4F03" w:rsidRDefault="00FB14E1" w:rsidP="00FB14E1">
      <w:pPr>
        <w:rPr>
          <w:rFonts w:ascii="Georgia" w:hAnsi="Georgia"/>
          <w:rtl/>
          <w:lang w:bidi="ar-EG"/>
        </w:rPr>
      </w:pPr>
    </w:p>
    <w:p w:rsidR="00FB14E1" w:rsidRDefault="00696768" w:rsidP="00696768">
      <w:pPr>
        <w:shd w:val="clear" w:color="auto" w:fill="FFFFFF"/>
        <w:spacing w:before="60" w:after="60"/>
        <w:jc w:val="both"/>
        <w:outlineLvl w:val="1"/>
        <w:rPr>
          <w:rFonts w:ascii="Garamond" w:eastAsia="Times New Roman" w:hAnsi="Garamond" w:cs="Times New Roman"/>
          <w:b/>
          <w:bCs/>
          <w:color w:val="000000"/>
        </w:rPr>
      </w:pPr>
      <w:r>
        <w:rPr>
          <w:rFonts w:ascii="Garamond" w:eastAsia="Times New Roman" w:hAnsi="Garamond" w:cs="Times New Roman"/>
          <w:b/>
          <w:bCs/>
          <w:color w:val="000000"/>
        </w:rPr>
        <w:t xml:space="preserve">Abstract: </w:t>
      </w:r>
      <w:r w:rsidR="00FB14E1" w:rsidRPr="00696768">
        <w:rPr>
          <w:rFonts w:ascii="Garamond" w:eastAsia="Times New Roman" w:hAnsi="Garamond" w:cs="Times New Roman"/>
          <w:color w:val="000000"/>
        </w:rPr>
        <w:t>This analytical</w:t>
      </w:r>
      <w:r w:rsidR="003E6F88">
        <w:rPr>
          <w:rFonts w:ascii="Garamond" w:eastAsia="Times New Roman" w:hAnsi="Garamond" w:cs="Times New Roman"/>
          <w:color w:val="000000"/>
        </w:rPr>
        <w:t>,</w:t>
      </w:r>
      <w:r w:rsidR="00FB14E1" w:rsidRPr="00696768">
        <w:rPr>
          <w:rFonts w:ascii="Garamond" w:eastAsia="Times New Roman" w:hAnsi="Garamond" w:cs="Times New Roman"/>
          <w:color w:val="000000"/>
        </w:rPr>
        <w:t xml:space="preserve"> critical study examines</w:t>
      </w:r>
      <w:r w:rsidR="00FB14E1" w:rsidRPr="00696768">
        <w:rPr>
          <w:rFonts w:ascii="Garamond" w:eastAsia="Times New Roman" w:hAnsi="Garamond" w:cs="Times New Roman"/>
          <w:color w:val="000000"/>
          <w:rtl/>
        </w:rPr>
        <w:t xml:space="preserve"> </w:t>
      </w:r>
      <w:r w:rsidR="00FB14E1" w:rsidRPr="00696768">
        <w:rPr>
          <w:rFonts w:ascii="Garamond" w:eastAsia="Times New Roman" w:hAnsi="Garamond" w:cs="Times New Roman"/>
          <w:color w:val="000000"/>
        </w:rPr>
        <w:t xml:space="preserve">the emergence and intellectual foundations of the Living Hadith approach in the study of </w:t>
      </w:r>
      <w:proofErr w:type="spellStart"/>
      <w:r w:rsidR="00FB14E1" w:rsidRPr="00696768">
        <w:rPr>
          <w:rFonts w:ascii="Garamond" w:eastAsia="Times New Roman" w:hAnsi="Garamond" w:cs="Times New Roman"/>
          <w:i/>
          <w:iCs/>
          <w:color w:val="000000"/>
        </w:rPr>
        <w:t>Sunnah</w:t>
      </w:r>
      <w:proofErr w:type="spellEnd"/>
      <w:r w:rsidR="00FB14E1" w:rsidRPr="00696768">
        <w:rPr>
          <w:rFonts w:ascii="Garamond" w:eastAsia="Times New Roman" w:hAnsi="Garamond" w:cs="Times New Roman"/>
          <w:color w:val="000000"/>
        </w:rPr>
        <w:t xml:space="preserve"> among Indonesian intellectuals in contemporary times; lecturers at </w:t>
      </w:r>
      <w:proofErr w:type="spellStart"/>
      <w:r w:rsidR="00FB14E1" w:rsidRPr="00696768">
        <w:rPr>
          <w:rFonts w:ascii="Garamond" w:eastAsia="Times New Roman" w:hAnsi="Garamond" w:cs="Times New Roman"/>
          <w:color w:val="000000"/>
        </w:rPr>
        <w:t>Sunan</w:t>
      </w:r>
      <w:proofErr w:type="spellEnd"/>
      <w:r w:rsidR="00FB14E1" w:rsidRPr="00696768">
        <w:rPr>
          <w:rFonts w:ascii="Garamond" w:eastAsia="Times New Roman" w:hAnsi="Garamond" w:cs="Times New Roman"/>
          <w:color w:val="000000"/>
        </w:rPr>
        <w:t xml:space="preserve"> </w:t>
      </w:r>
      <w:proofErr w:type="spellStart"/>
      <w:r w:rsidR="00FB14E1" w:rsidRPr="00696768">
        <w:rPr>
          <w:rFonts w:ascii="Garamond" w:eastAsia="Times New Roman" w:hAnsi="Garamond" w:cs="Times New Roman"/>
          <w:color w:val="000000"/>
        </w:rPr>
        <w:t>Kalijaga</w:t>
      </w:r>
      <w:proofErr w:type="spellEnd"/>
      <w:r w:rsidR="00FB14E1" w:rsidRPr="00696768">
        <w:rPr>
          <w:rFonts w:ascii="Garamond" w:eastAsia="Times New Roman" w:hAnsi="Garamond" w:cs="Times New Roman"/>
          <w:color w:val="000000"/>
        </w:rPr>
        <w:t xml:space="preserve"> State Islamic University in Yogyakarta first introduced this study. The "Living Hadith" method interprets Hadith through cultural and social practices that are alive in Indonesian society. This method offers contextual sensitivity and involves hermeneutical and anthropological frameworks. However, this approach also raises epistemological and methodological concerns—particularly regarding the integrity of </w:t>
      </w:r>
      <w:proofErr w:type="spellStart"/>
      <w:r w:rsidR="00FB14E1" w:rsidRPr="00696768">
        <w:rPr>
          <w:rFonts w:ascii="Garamond" w:eastAsia="Times New Roman" w:hAnsi="Garamond" w:cs="Times New Roman"/>
          <w:i/>
          <w:iCs/>
          <w:color w:val="000000"/>
        </w:rPr>
        <w:t>isnād-matan</w:t>
      </w:r>
      <w:proofErr w:type="spellEnd"/>
      <w:r w:rsidR="00FB14E1" w:rsidRPr="00696768">
        <w:rPr>
          <w:rFonts w:ascii="Garamond" w:eastAsia="Times New Roman" w:hAnsi="Garamond" w:cs="Times New Roman"/>
          <w:color w:val="000000"/>
        </w:rPr>
        <w:t xml:space="preserve"> authentication, the potential weakening of textual authority, and the risk of cultural syncretism inconsistent with Sharia. Using historical genealogical analysis, literature review, and community case studies, this research evaluates whether the Living Hadith contributes to a valid understanding of the </w:t>
      </w:r>
      <w:proofErr w:type="spellStart"/>
      <w:r w:rsidR="00FB14E1" w:rsidRPr="00696768">
        <w:rPr>
          <w:rFonts w:ascii="Garamond" w:eastAsia="Times New Roman" w:hAnsi="Garamond" w:cs="Times New Roman"/>
          <w:i/>
          <w:iCs/>
          <w:color w:val="000000"/>
        </w:rPr>
        <w:t>Sunnah</w:t>
      </w:r>
      <w:proofErr w:type="spellEnd"/>
      <w:r w:rsidR="00FB14E1" w:rsidRPr="00696768">
        <w:rPr>
          <w:rFonts w:ascii="Garamond" w:eastAsia="Times New Roman" w:hAnsi="Garamond" w:cs="Times New Roman"/>
          <w:color w:val="000000"/>
        </w:rPr>
        <w:t xml:space="preserve"> or deviates from the principles of Hadith science established by scholars. The study found that the Living Hadith method fosters multiculturalism because the Hadith applied within society is influenced by the community's diverse social and cultural contexts. As a result, the Hadith no longer refers to the application found in authoritative sources, such as the views of the Prophet's companions or the statements of </w:t>
      </w:r>
      <w:proofErr w:type="spellStart"/>
      <w:r w:rsidR="00FB14E1" w:rsidRPr="00696768">
        <w:rPr>
          <w:rFonts w:ascii="Garamond" w:eastAsia="Times New Roman" w:hAnsi="Garamond" w:cs="Times New Roman"/>
          <w:i/>
          <w:iCs/>
          <w:color w:val="000000"/>
        </w:rPr>
        <w:t>ulama</w:t>
      </w:r>
      <w:proofErr w:type="spellEnd"/>
      <w:r w:rsidR="00FB14E1" w:rsidRPr="00696768">
        <w:rPr>
          <w:rFonts w:ascii="Garamond" w:eastAsia="Times New Roman" w:hAnsi="Garamond" w:cs="Times New Roman"/>
          <w:color w:val="000000"/>
        </w:rPr>
        <w:t xml:space="preserve"> with authority in understanding Hadith. Therefore, this study recommends integrating textual verification and methodological reflexivity into Hadith pedagogy in societal life to balance social relevance with normative Islamic scholarship.</w:t>
      </w:r>
    </w:p>
    <w:p w:rsidR="00696768" w:rsidRPr="00696768" w:rsidRDefault="00696768" w:rsidP="00696768">
      <w:pPr>
        <w:shd w:val="clear" w:color="auto" w:fill="FFFFFF"/>
        <w:spacing w:before="60" w:after="60"/>
        <w:jc w:val="both"/>
        <w:outlineLvl w:val="1"/>
        <w:rPr>
          <w:rFonts w:ascii="Garamond" w:eastAsia="Times New Roman" w:hAnsi="Garamond" w:cs="Times New Roman"/>
          <w:b/>
          <w:bCs/>
          <w:color w:val="000000"/>
        </w:rPr>
      </w:pPr>
    </w:p>
    <w:p w:rsidR="00FB14E1" w:rsidRPr="00696768" w:rsidRDefault="00FB14E1" w:rsidP="00856813">
      <w:pPr>
        <w:jc w:val="both"/>
        <w:rPr>
          <w:rFonts w:ascii="Garamond" w:eastAsia="Times New Roman" w:hAnsi="Garamond" w:cs="Times New Roman"/>
          <w:color w:val="000000"/>
          <w:rtl/>
        </w:rPr>
      </w:pPr>
      <w:r w:rsidRPr="005C31FD">
        <w:rPr>
          <w:rFonts w:ascii="Garamond" w:eastAsia="Times New Roman" w:hAnsi="Garamond" w:cs="Times New Roman"/>
          <w:color w:val="000000"/>
        </w:rPr>
        <w:t>Keywords</w:t>
      </w:r>
      <w:r w:rsidRPr="00696768">
        <w:rPr>
          <w:rFonts w:ascii="Garamond" w:eastAsia="Times New Roman" w:hAnsi="Garamond" w:cs="Times New Roman"/>
          <w:color w:val="000000"/>
        </w:rPr>
        <w:t xml:space="preserve">: Living Hadith; methodology; Hadith </w:t>
      </w:r>
      <w:r w:rsidR="00856813">
        <w:rPr>
          <w:rFonts w:ascii="Garamond" w:eastAsia="Times New Roman" w:hAnsi="Garamond" w:cs="Times New Roman"/>
          <w:color w:val="000000"/>
        </w:rPr>
        <w:t>S</w:t>
      </w:r>
      <w:r w:rsidRPr="00696768">
        <w:rPr>
          <w:rFonts w:ascii="Garamond" w:eastAsia="Times New Roman" w:hAnsi="Garamond" w:cs="Times New Roman"/>
          <w:color w:val="000000"/>
        </w:rPr>
        <w:t>cience; Indonesia</w:t>
      </w:r>
      <w:r w:rsidRPr="00696768">
        <w:rPr>
          <w:rFonts w:ascii="Garamond" w:eastAsia="Times New Roman" w:hAnsi="Garamond" w:cs="Times New Roman"/>
          <w:color w:val="000000"/>
          <w:rtl/>
        </w:rPr>
        <w:t>.</w:t>
      </w:r>
    </w:p>
    <w:p w:rsidR="00FB14E1" w:rsidRPr="000B4F03" w:rsidRDefault="00FB14E1" w:rsidP="00FB14E1">
      <w:pPr>
        <w:jc w:val="both"/>
        <w:rPr>
          <w:rFonts w:ascii="Georgia" w:eastAsia="Times New Roman" w:hAnsi="Georgia" w:cs="Times New Roman"/>
          <w:color w:val="000000"/>
        </w:rPr>
      </w:pPr>
    </w:p>
    <w:p w:rsidR="00FB14E1" w:rsidRPr="00E73281" w:rsidRDefault="00FB14E1" w:rsidP="00FB14E1">
      <w:pPr>
        <w:bidi/>
        <w:jc w:val="both"/>
        <w:rPr>
          <w:rFonts w:ascii="Traditional Arabic" w:eastAsia="Times New Roman" w:hAnsi="Traditional Arabic" w:cs="Traditional Arabic"/>
          <w:color w:val="000000"/>
          <w:sz w:val="36"/>
          <w:szCs w:val="36"/>
          <w:rtl/>
          <w:lang w:bidi="ar-EG"/>
        </w:rPr>
      </w:pPr>
    </w:p>
    <w:p w:rsidR="00FB14E1" w:rsidRDefault="00FB14E1" w:rsidP="00FB14E1">
      <w:pPr>
        <w:rPr>
          <w:rFonts w:ascii="Georgia" w:eastAsia="Times New Roman" w:hAnsi="Georgia" w:cs="Times New Roman"/>
          <w:color w:val="000000"/>
          <w:sz w:val="36"/>
          <w:szCs w:val="36"/>
          <w:rtl/>
        </w:rPr>
      </w:pPr>
    </w:p>
    <w:p w:rsidR="00FB14E1" w:rsidRDefault="00FB14E1" w:rsidP="00FB14E1">
      <w:pPr>
        <w:rPr>
          <w:rFonts w:ascii="Georgia" w:eastAsia="Times New Roman" w:hAnsi="Georgia" w:cs="Times New Roman"/>
          <w:color w:val="000000"/>
          <w:sz w:val="36"/>
          <w:szCs w:val="36"/>
          <w:rtl/>
        </w:rPr>
      </w:pPr>
    </w:p>
    <w:p w:rsidR="00FB14E1" w:rsidRDefault="00FB14E1" w:rsidP="00FB14E1">
      <w:pPr>
        <w:rPr>
          <w:rFonts w:ascii="Georgia" w:eastAsia="Times New Roman" w:hAnsi="Georgia" w:cs="Times New Roman"/>
          <w:color w:val="000000"/>
          <w:sz w:val="36"/>
          <w:szCs w:val="36"/>
          <w:rtl/>
        </w:rPr>
      </w:pPr>
    </w:p>
    <w:p w:rsidR="00FB14E1" w:rsidRDefault="00FB14E1" w:rsidP="00FB14E1">
      <w:pPr>
        <w:rPr>
          <w:rFonts w:ascii="Georgia" w:eastAsia="Times New Roman" w:hAnsi="Georgia" w:cs="Times New Roman"/>
          <w:color w:val="000000"/>
          <w:sz w:val="36"/>
          <w:szCs w:val="36"/>
        </w:rPr>
      </w:pPr>
    </w:p>
    <w:p w:rsidR="00FB14E1" w:rsidRPr="006D2FE8" w:rsidRDefault="00FB14E1" w:rsidP="00FB14E1">
      <w:pPr>
        <w:rPr>
          <w:rFonts w:ascii="Georgia" w:eastAsia="Times New Roman" w:hAnsi="Georgia" w:cs="Times New Roman"/>
          <w:color w:val="000000"/>
          <w:sz w:val="36"/>
          <w:szCs w:val="36"/>
          <w:rtl/>
        </w:rPr>
      </w:pPr>
    </w:p>
    <w:p w:rsidR="0086035A" w:rsidRDefault="0086035A" w:rsidP="00DB76BC">
      <w:pPr>
        <w:jc w:val="both"/>
        <w:rPr>
          <w:rFonts w:ascii="Garamond" w:hAnsi="Garamond" w:cs="Traditional Arabic"/>
          <w:b/>
          <w:bCs/>
          <w:sz w:val="36"/>
          <w:szCs w:val="36"/>
          <w:lang w:bidi="ar-EG"/>
        </w:rPr>
      </w:pPr>
      <w:r w:rsidRPr="00412003">
        <w:rPr>
          <w:rFonts w:ascii="Garamond" w:hAnsi="Garamond" w:cs="Traditional Arabic"/>
          <w:b/>
          <w:bCs/>
          <w:sz w:val="36"/>
          <w:szCs w:val="36"/>
          <w:lang w:bidi="ar-EG"/>
        </w:rPr>
        <w:lastRenderedPageBreak/>
        <w:t>Introduction</w:t>
      </w:r>
    </w:p>
    <w:p w:rsidR="00696768" w:rsidRPr="00091205" w:rsidRDefault="00696768" w:rsidP="00DB76BC">
      <w:pPr>
        <w:jc w:val="both"/>
        <w:rPr>
          <w:rFonts w:ascii="Garamond" w:hAnsi="Garamond" w:cs="Traditional Arabic"/>
          <w:b/>
          <w:bCs/>
          <w:sz w:val="36"/>
          <w:szCs w:val="36"/>
          <w:lang w:bidi="ar-EG"/>
        </w:rPr>
      </w:pPr>
    </w:p>
    <w:p w:rsidR="00FB14E1" w:rsidRPr="00091205" w:rsidRDefault="00DB76BC" w:rsidP="005C31FD">
      <w:pPr>
        <w:spacing w:line="276" w:lineRule="auto"/>
        <w:ind w:firstLine="720"/>
        <w:jc w:val="both"/>
        <w:rPr>
          <w:rFonts w:ascii="Garamond" w:hAnsi="Garamond" w:cstheme="majorBidi"/>
          <w:lang w:bidi="ar-EG"/>
        </w:rPr>
      </w:pPr>
      <w:r w:rsidRPr="00091205">
        <w:rPr>
          <w:rFonts w:ascii="Garamond" w:hAnsi="Garamond" w:cstheme="majorBidi"/>
          <w:lang w:bidi="ar-EG"/>
        </w:rPr>
        <w:t xml:space="preserve">The development of understanding of the </w:t>
      </w:r>
      <w:r w:rsidR="00AD6CE7">
        <w:rPr>
          <w:rFonts w:ascii="Garamond" w:hAnsi="Garamond" w:cstheme="majorBidi"/>
          <w:lang w:bidi="ar-EG"/>
        </w:rPr>
        <w:t>Hadith</w:t>
      </w:r>
      <w:r w:rsidRPr="00091205">
        <w:rPr>
          <w:rFonts w:ascii="Garamond" w:hAnsi="Garamond" w:cstheme="majorBidi"/>
          <w:lang w:bidi="ar-EG"/>
        </w:rPr>
        <w:t xml:space="preserve"> in Indonesia has undergone significant changes since its inception. Although there is controversy surrounding the late emergence of this development, others believe that it has progressed since its inception</w:t>
      </w:r>
      <w:r w:rsidR="0086035A" w:rsidRPr="00091205">
        <w:rPr>
          <w:rFonts w:ascii="Garamond" w:hAnsi="Garamond" w:cstheme="majorBidi"/>
          <w:lang w:bidi="ar-EG"/>
        </w:rPr>
        <w:t>.</w:t>
      </w:r>
      <w:r w:rsidR="00FB14E1" w:rsidRPr="00091205">
        <w:rPr>
          <w:rStyle w:val="FootnoteReference"/>
          <w:rFonts w:ascii="Garamond" w:hAnsi="Garamond" w:cstheme="majorBidi"/>
          <w:rtl/>
          <w:lang w:bidi="ar-EG"/>
        </w:rPr>
        <w:footnoteReference w:id="1"/>
      </w:r>
      <w:r w:rsidR="00FB14E1" w:rsidRPr="00091205">
        <w:rPr>
          <w:rFonts w:ascii="Garamond" w:hAnsi="Garamond" w:cstheme="majorBidi"/>
          <w:rtl/>
          <w:lang w:bidi="ar-EG"/>
        </w:rPr>
        <w:t xml:space="preserve"> </w:t>
      </w:r>
      <w:r w:rsidR="0086035A" w:rsidRPr="00091205">
        <w:rPr>
          <w:rFonts w:ascii="Garamond" w:hAnsi="Garamond" w:cstheme="majorBidi"/>
          <w:lang w:bidi="ar-EG"/>
        </w:rPr>
        <w:t xml:space="preserve"> </w:t>
      </w:r>
      <w:r w:rsidRPr="00091205">
        <w:rPr>
          <w:rFonts w:ascii="Garamond" w:hAnsi="Garamond" w:cstheme="majorBidi"/>
          <w:lang w:bidi="ar-EG"/>
        </w:rPr>
        <w:t xml:space="preserve">Therefore, the development of the study of understanding the </w:t>
      </w:r>
      <w:r w:rsidR="00AD6CE7">
        <w:rPr>
          <w:rFonts w:ascii="Garamond" w:hAnsi="Garamond" w:cstheme="majorBidi"/>
          <w:lang w:bidi="ar-EG"/>
        </w:rPr>
        <w:t>H</w:t>
      </w:r>
      <w:r w:rsidRPr="00091205">
        <w:rPr>
          <w:rFonts w:ascii="Garamond" w:hAnsi="Garamond" w:cstheme="majorBidi"/>
          <w:lang w:bidi="ar-EG"/>
        </w:rPr>
        <w:t xml:space="preserve">adith itself, which in its early stages was understood in a traditional manner, focused on understanding the </w:t>
      </w:r>
      <w:r w:rsidR="00AD6CE7">
        <w:rPr>
          <w:rFonts w:ascii="Garamond" w:hAnsi="Garamond" w:cstheme="majorBidi"/>
          <w:lang w:bidi="ar-EG"/>
        </w:rPr>
        <w:t>H</w:t>
      </w:r>
      <w:r w:rsidRPr="00091205">
        <w:rPr>
          <w:rFonts w:ascii="Garamond" w:hAnsi="Garamond" w:cstheme="majorBidi"/>
          <w:lang w:bidi="ar-EG"/>
        </w:rPr>
        <w:t xml:space="preserve">adith to serve the public interest. This is evident in the first book on </w:t>
      </w:r>
      <w:r w:rsidR="00AD6CE7">
        <w:rPr>
          <w:rFonts w:ascii="Garamond" w:hAnsi="Garamond" w:cstheme="majorBidi"/>
          <w:lang w:bidi="ar-EG"/>
        </w:rPr>
        <w:t>H</w:t>
      </w:r>
      <w:r w:rsidRPr="00091205">
        <w:rPr>
          <w:rFonts w:ascii="Garamond" w:hAnsi="Garamond" w:cstheme="majorBidi"/>
          <w:lang w:bidi="ar-EG"/>
        </w:rPr>
        <w:t>adith in the archipelago, “</w:t>
      </w:r>
      <w:proofErr w:type="spellStart"/>
      <w:r w:rsidRPr="00091205">
        <w:rPr>
          <w:rFonts w:ascii="Garamond" w:hAnsi="Garamond" w:cstheme="majorBidi"/>
          <w:i/>
          <w:iCs/>
          <w:lang w:bidi="ar-EG"/>
        </w:rPr>
        <w:t>Hadiya</w:t>
      </w:r>
      <w:proofErr w:type="spellEnd"/>
      <w:r w:rsidRPr="00091205">
        <w:rPr>
          <w:rFonts w:ascii="Garamond" w:hAnsi="Garamond" w:cstheme="majorBidi"/>
          <w:i/>
          <w:iCs/>
          <w:lang w:bidi="ar-EG"/>
        </w:rPr>
        <w:t xml:space="preserve"> al-</w:t>
      </w:r>
      <w:proofErr w:type="spellStart"/>
      <w:r w:rsidRPr="00091205">
        <w:rPr>
          <w:rFonts w:ascii="Garamond" w:hAnsi="Garamond" w:cstheme="majorBidi"/>
          <w:i/>
          <w:iCs/>
          <w:lang w:bidi="ar-EG"/>
        </w:rPr>
        <w:t>Habib</w:t>
      </w:r>
      <w:proofErr w:type="spellEnd"/>
      <w:r w:rsidRPr="00091205">
        <w:rPr>
          <w:rFonts w:ascii="Garamond" w:hAnsi="Garamond" w:cstheme="majorBidi"/>
          <w:i/>
          <w:iCs/>
          <w:lang w:bidi="ar-EG"/>
        </w:rPr>
        <w:t xml:space="preserve"> fi al-</w:t>
      </w:r>
      <w:proofErr w:type="spellStart"/>
      <w:r w:rsidRPr="00091205">
        <w:rPr>
          <w:rFonts w:ascii="Garamond" w:hAnsi="Garamond" w:cstheme="majorBidi"/>
          <w:i/>
          <w:iCs/>
          <w:lang w:bidi="ar-EG"/>
        </w:rPr>
        <w:t>Targhib</w:t>
      </w:r>
      <w:proofErr w:type="spellEnd"/>
      <w:r w:rsidRPr="00091205">
        <w:rPr>
          <w:rFonts w:ascii="Garamond" w:hAnsi="Garamond" w:cstheme="majorBidi"/>
          <w:i/>
          <w:iCs/>
          <w:lang w:bidi="ar-EG"/>
        </w:rPr>
        <w:t xml:space="preserve"> </w:t>
      </w:r>
      <w:proofErr w:type="spellStart"/>
      <w:r w:rsidRPr="00091205">
        <w:rPr>
          <w:rFonts w:ascii="Garamond" w:hAnsi="Garamond" w:cstheme="majorBidi"/>
          <w:i/>
          <w:iCs/>
          <w:lang w:bidi="ar-EG"/>
        </w:rPr>
        <w:t>wa</w:t>
      </w:r>
      <w:proofErr w:type="spellEnd"/>
      <w:r w:rsidRPr="00091205">
        <w:rPr>
          <w:rFonts w:ascii="Garamond" w:hAnsi="Garamond" w:cstheme="majorBidi"/>
          <w:i/>
          <w:iCs/>
          <w:lang w:bidi="ar-EG"/>
        </w:rPr>
        <w:t xml:space="preserve"> al-</w:t>
      </w:r>
      <w:proofErr w:type="spellStart"/>
      <w:r w:rsidRPr="00091205">
        <w:rPr>
          <w:rFonts w:ascii="Garamond" w:hAnsi="Garamond" w:cstheme="majorBidi"/>
          <w:i/>
          <w:iCs/>
          <w:lang w:bidi="ar-EG"/>
        </w:rPr>
        <w:t>Tarhib</w:t>
      </w:r>
      <w:proofErr w:type="spellEnd"/>
      <w:r w:rsidRPr="00091205">
        <w:rPr>
          <w:rFonts w:ascii="Garamond" w:hAnsi="Garamond" w:cstheme="majorBidi"/>
          <w:lang w:bidi="ar-EG"/>
        </w:rPr>
        <w:t>”</w:t>
      </w:r>
      <w:r w:rsidR="00AD6CE7">
        <w:rPr>
          <w:rFonts w:ascii="Garamond" w:hAnsi="Garamond" w:cstheme="majorBidi"/>
          <w:lang w:bidi="ar-EG"/>
        </w:rPr>
        <w:t xml:space="preserve"> written in the 17</w:t>
      </w:r>
      <w:r w:rsidR="00AD6CE7" w:rsidRPr="00AD6CE7">
        <w:rPr>
          <w:rFonts w:ascii="Garamond" w:hAnsi="Garamond" w:cstheme="majorBidi"/>
          <w:vertAlign w:val="superscript"/>
          <w:lang w:bidi="ar-EG"/>
        </w:rPr>
        <w:t>th</w:t>
      </w:r>
      <w:r w:rsidR="00AD6CE7" w:rsidRPr="00AD6CE7">
        <w:rPr>
          <w:rFonts w:ascii="Garamond" w:hAnsi="Garamond" w:cstheme="majorBidi"/>
          <w:lang w:bidi="ar-EG"/>
        </w:rPr>
        <w:t xml:space="preserve"> century</w:t>
      </w:r>
      <w:r w:rsidRPr="00091205">
        <w:rPr>
          <w:rFonts w:ascii="Garamond" w:hAnsi="Garamond" w:cstheme="majorBidi"/>
          <w:lang w:bidi="ar-EG"/>
        </w:rPr>
        <w:t xml:space="preserve"> by </w:t>
      </w:r>
      <w:proofErr w:type="spellStart"/>
      <w:r w:rsidRPr="00091205">
        <w:rPr>
          <w:rFonts w:ascii="Garamond" w:hAnsi="Garamond" w:cstheme="majorBidi"/>
          <w:lang w:bidi="ar-EG"/>
        </w:rPr>
        <w:t>Nur</w:t>
      </w:r>
      <w:proofErr w:type="spellEnd"/>
      <w:r w:rsidRPr="00091205">
        <w:rPr>
          <w:rFonts w:ascii="Garamond" w:hAnsi="Garamond" w:cstheme="majorBidi"/>
          <w:lang w:bidi="ar-EG"/>
        </w:rPr>
        <w:t xml:space="preserve"> al-Din al-</w:t>
      </w:r>
      <w:proofErr w:type="spellStart"/>
      <w:r w:rsidRPr="00091205">
        <w:rPr>
          <w:rFonts w:ascii="Garamond" w:hAnsi="Garamond" w:cstheme="majorBidi"/>
          <w:lang w:bidi="ar-EG"/>
        </w:rPr>
        <w:t>Raniri</w:t>
      </w:r>
      <w:proofErr w:type="spellEnd"/>
      <w:r w:rsidRPr="00091205">
        <w:rPr>
          <w:rFonts w:ascii="Garamond" w:hAnsi="Garamond" w:cstheme="majorBidi"/>
          <w:lang w:bidi="ar-EG"/>
        </w:rPr>
        <w:t xml:space="preserve"> (1658</w:t>
      </w:r>
      <w:r w:rsidR="00FE74EA" w:rsidRPr="00091205">
        <w:rPr>
          <w:rFonts w:ascii="Garamond" w:hAnsi="Garamond" w:cstheme="majorBidi"/>
          <w:lang w:bidi="ar-EG"/>
        </w:rPr>
        <w:t>),</w:t>
      </w:r>
      <w:r w:rsidR="00FB14E1" w:rsidRPr="00091205">
        <w:rPr>
          <w:rStyle w:val="FootnoteReference"/>
          <w:rFonts w:ascii="Garamond" w:hAnsi="Garamond" w:cstheme="majorBidi"/>
          <w:rtl/>
          <w:lang w:bidi="ar-EG"/>
        </w:rPr>
        <w:footnoteReference w:id="2"/>
      </w:r>
      <w:r w:rsidR="00FE74EA" w:rsidRPr="00091205">
        <w:rPr>
          <w:rFonts w:ascii="Garamond" w:hAnsi="Garamond" w:cstheme="majorBidi"/>
          <w:lang w:bidi="ar-EG"/>
        </w:rPr>
        <w:t xml:space="preserve"> </w:t>
      </w:r>
      <w:r w:rsidR="00AD6CE7">
        <w:rPr>
          <w:rFonts w:ascii="Garamond" w:hAnsi="Garamond" w:cstheme="majorBidi"/>
          <w:lang w:bidi="ar-EG"/>
        </w:rPr>
        <w:t>a</w:t>
      </w:r>
      <w:r w:rsidRPr="00091205">
        <w:rPr>
          <w:rFonts w:ascii="Garamond" w:hAnsi="Garamond" w:cstheme="majorBidi"/>
          <w:lang w:bidi="ar-EG"/>
        </w:rPr>
        <w:t xml:space="preserve">nd the book </w:t>
      </w:r>
      <w:r w:rsidR="00696768" w:rsidRPr="00091205">
        <w:rPr>
          <w:rFonts w:ascii="Garamond" w:hAnsi="Garamond" w:cstheme="majorBidi"/>
          <w:lang w:bidi="ar-EG"/>
        </w:rPr>
        <w:t>“</w:t>
      </w:r>
      <w:proofErr w:type="spellStart"/>
      <w:r w:rsidRPr="00091205">
        <w:rPr>
          <w:rFonts w:ascii="Garamond" w:hAnsi="Garamond" w:cstheme="majorBidi"/>
          <w:i/>
          <w:iCs/>
          <w:lang w:bidi="ar-EG"/>
        </w:rPr>
        <w:t>Shif</w:t>
      </w:r>
      <w:r w:rsidR="00AD6CE7">
        <w:rPr>
          <w:rFonts w:ascii="Garamond" w:hAnsi="Garamond" w:cstheme="majorBidi"/>
          <w:i/>
          <w:iCs/>
          <w:lang w:bidi="ar-EG"/>
        </w:rPr>
        <w:t>ā</w:t>
      </w:r>
      <w:proofErr w:type="spellEnd"/>
      <w:r w:rsidRPr="00091205">
        <w:rPr>
          <w:rFonts w:ascii="Garamond" w:hAnsi="Garamond" w:cstheme="majorBidi"/>
          <w:i/>
          <w:iCs/>
          <w:lang w:bidi="ar-EG"/>
        </w:rPr>
        <w:t xml:space="preserve"> al-</w:t>
      </w:r>
      <w:proofErr w:type="spellStart"/>
      <w:r w:rsidRPr="00091205">
        <w:rPr>
          <w:rFonts w:ascii="Garamond" w:hAnsi="Garamond" w:cstheme="majorBidi"/>
          <w:i/>
          <w:iCs/>
          <w:lang w:bidi="ar-EG"/>
        </w:rPr>
        <w:t>Qul</w:t>
      </w:r>
      <w:r w:rsidR="00AD6CE7">
        <w:rPr>
          <w:rFonts w:ascii="Garamond" w:hAnsi="Garamond" w:cstheme="majorBidi"/>
          <w:i/>
          <w:iCs/>
          <w:lang w:bidi="ar-EG"/>
        </w:rPr>
        <w:t>ū</w:t>
      </w:r>
      <w:r w:rsidRPr="00091205">
        <w:rPr>
          <w:rFonts w:ascii="Garamond" w:hAnsi="Garamond" w:cstheme="majorBidi"/>
          <w:i/>
          <w:iCs/>
          <w:lang w:bidi="ar-EG"/>
        </w:rPr>
        <w:t>b</w:t>
      </w:r>
      <w:proofErr w:type="spellEnd"/>
      <w:r w:rsidR="0086035A" w:rsidRPr="00091205">
        <w:rPr>
          <w:rFonts w:ascii="Garamond" w:hAnsi="Garamond" w:cstheme="majorBidi"/>
          <w:lang w:bidi="ar-EG"/>
        </w:rPr>
        <w:t>”</w:t>
      </w:r>
      <w:r w:rsidRPr="00091205">
        <w:rPr>
          <w:rFonts w:ascii="Garamond" w:hAnsi="Garamond" w:cstheme="majorBidi"/>
          <w:lang w:bidi="ar-EG"/>
        </w:rPr>
        <w:t xml:space="preserve"> </w:t>
      </w:r>
      <w:r w:rsidR="00AD6CE7">
        <w:rPr>
          <w:rFonts w:ascii="Garamond" w:hAnsi="Garamond" w:cstheme="majorBidi"/>
          <w:lang w:bidi="ar-EG"/>
        </w:rPr>
        <w:t>in the 18</w:t>
      </w:r>
      <w:r w:rsidR="00AD6CE7" w:rsidRPr="00AD6CE7">
        <w:rPr>
          <w:rFonts w:ascii="Garamond" w:hAnsi="Garamond" w:cstheme="majorBidi"/>
          <w:vertAlign w:val="superscript"/>
          <w:lang w:bidi="ar-EG"/>
        </w:rPr>
        <w:t>th</w:t>
      </w:r>
      <w:r w:rsidR="00AD6CE7">
        <w:rPr>
          <w:rFonts w:ascii="Garamond" w:hAnsi="Garamond" w:cstheme="majorBidi"/>
          <w:lang w:bidi="ar-EG"/>
        </w:rPr>
        <w:t xml:space="preserve"> century </w:t>
      </w:r>
      <w:r w:rsidRPr="00091205">
        <w:rPr>
          <w:rFonts w:ascii="Garamond" w:hAnsi="Garamond" w:cstheme="majorBidi"/>
          <w:lang w:bidi="ar-EG"/>
        </w:rPr>
        <w:t>by Abdullah al-</w:t>
      </w:r>
      <w:proofErr w:type="spellStart"/>
      <w:proofErr w:type="gramStart"/>
      <w:r w:rsidR="0086035A" w:rsidRPr="00091205">
        <w:rPr>
          <w:rFonts w:ascii="Garamond" w:hAnsi="Garamond" w:cstheme="majorBidi"/>
          <w:lang w:bidi="ar-EG"/>
        </w:rPr>
        <w:t>A</w:t>
      </w:r>
      <w:r w:rsidRPr="00091205">
        <w:rPr>
          <w:rFonts w:ascii="Garamond" w:hAnsi="Garamond" w:cstheme="majorBidi"/>
          <w:lang w:bidi="ar-EG"/>
        </w:rPr>
        <w:t>shi</w:t>
      </w:r>
      <w:proofErr w:type="spellEnd"/>
      <w:r w:rsidR="0086035A" w:rsidRPr="00091205">
        <w:rPr>
          <w:rFonts w:ascii="Garamond" w:hAnsi="Garamond" w:cstheme="majorBidi"/>
          <w:lang w:bidi="ar-EG"/>
        </w:rPr>
        <w:t>,</w:t>
      </w:r>
      <w:proofErr w:type="gramEnd"/>
      <w:r w:rsidR="00FB14E1" w:rsidRPr="00091205">
        <w:rPr>
          <w:rStyle w:val="FootnoteReference"/>
          <w:rFonts w:ascii="Garamond" w:hAnsi="Garamond" w:cstheme="majorBidi"/>
          <w:rtl/>
          <w:lang w:bidi="ar-EG"/>
        </w:rPr>
        <w:footnoteReference w:id="3"/>
      </w:r>
      <w:r w:rsidR="00FB14E1" w:rsidRPr="00091205">
        <w:rPr>
          <w:rFonts w:ascii="Garamond" w:hAnsi="Garamond" w:cstheme="majorBidi"/>
          <w:rtl/>
          <w:lang w:bidi="ar-EG"/>
        </w:rPr>
        <w:t xml:space="preserve"> </w:t>
      </w:r>
      <w:r w:rsidR="0086035A" w:rsidRPr="00091205">
        <w:rPr>
          <w:rFonts w:ascii="Garamond" w:hAnsi="Garamond" w:cstheme="majorBidi"/>
          <w:lang w:bidi="ar-EG"/>
        </w:rPr>
        <w:t xml:space="preserve"> </w:t>
      </w:r>
      <w:r w:rsidRPr="00091205">
        <w:rPr>
          <w:rFonts w:ascii="Garamond" w:hAnsi="Garamond" w:cstheme="majorBidi"/>
          <w:lang w:bidi="ar-EG"/>
        </w:rPr>
        <w:t>These two books were written as guidebooks for human community</w:t>
      </w:r>
      <w:r w:rsidR="00AD6CE7">
        <w:rPr>
          <w:rFonts w:ascii="Garamond" w:hAnsi="Garamond" w:cstheme="majorBidi"/>
          <w:lang w:bidi="ar-EG"/>
        </w:rPr>
        <w:t>.</w:t>
      </w:r>
      <w:r w:rsidR="00FB14E1" w:rsidRPr="00091205">
        <w:rPr>
          <w:rFonts w:ascii="Garamond" w:hAnsi="Garamond" w:cstheme="majorBidi"/>
          <w:rtl/>
          <w:lang w:bidi="ar-EG"/>
        </w:rPr>
        <w:t xml:space="preserve"> </w:t>
      </w:r>
    </w:p>
    <w:p w:rsidR="003E6F88" w:rsidRDefault="0086035A" w:rsidP="00AD6CE7">
      <w:pPr>
        <w:spacing w:line="276" w:lineRule="auto"/>
        <w:ind w:firstLine="720"/>
        <w:jc w:val="both"/>
        <w:rPr>
          <w:rFonts w:ascii="Garamond" w:hAnsi="Garamond" w:cs="Traditional Arabic"/>
          <w:sz w:val="36"/>
          <w:szCs w:val="36"/>
          <w:lang w:bidi="ar-EG"/>
        </w:rPr>
      </w:pPr>
      <w:r w:rsidRPr="00091205">
        <w:rPr>
          <w:rFonts w:ascii="Garamond" w:hAnsi="Garamond" w:cstheme="majorBidi"/>
          <w:lang w:bidi="ar-EG"/>
        </w:rPr>
        <w:t>However,</w:t>
      </w:r>
      <w:r w:rsidR="00AD6CE7">
        <w:rPr>
          <w:rFonts w:ascii="Garamond" w:hAnsi="Garamond" w:cstheme="majorBidi"/>
          <w:lang w:bidi="ar-EG"/>
        </w:rPr>
        <w:t xml:space="preserve"> starting at the end of the 19</w:t>
      </w:r>
      <w:r w:rsidR="00AD6CE7" w:rsidRPr="00AD6CE7">
        <w:rPr>
          <w:rFonts w:ascii="Garamond" w:hAnsi="Garamond" w:cstheme="majorBidi"/>
          <w:vertAlign w:val="superscript"/>
          <w:lang w:bidi="ar-EG"/>
        </w:rPr>
        <w:t>th</w:t>
      </w:r>
      <w:r w:rsidRPr="00091205">
        <w:rPr>
          <w:rFonts w:ascii="Garamond" w:hAnsi="Garamond" w:cstheme="majorBidi"/>
          <w:lang w:bidi="ar-EG"/>
        </w:rPr>
        <w:t xml:space="preserve"> centu</w:t>
      </w:r>
      <w:r w:rsidR="00AD6CE7">
        <w:rPr>
          <w:rFonts w:ascii="Garamond" w:hAnsi="Garamond" w:cstheme="majorBidi"/>
          <w:lang w:bidi="ar-EG"/>
        </w:rPr>
        <w:t>ry and the beginning of the 20</w:t>
      </w:r>
      <w:r w:rsidR="00AD6CE7" w:rsidRPr="00AD6CE7">
        <w:rPr>
          <w:rFonts w:ascii="Garamond" w:hAnsi="Garamond" w:cstheme="majorBidi"/>
          <w:vertAlign w:val="superscript"/>
          <w:lang w:bidi="ar-EG"/>
        </w:rPr>
        <w:t>th</w:t>
      </w:r>
      <w:r w:rsidRPr="00091205">
        <w:rPr>
          <w:rFonts w:ascii="Garamond" w:hAnsi="Garamond" w:cstheme="majorBidi"/>
          <w:lang w:bidi="ar-EG"/>
        </w:rPr>
        <w:t xml:space="preserve"> century, some significant changes started to take place. The development of the Islamic movement increased awareness of understanding the </w:t>
      </w:r>
      <w:r w:rsidR="00AD6CE7">
        <w:rPr>
          <w:rFonts w:ascii="Garamond" w:hAnsi="Garamond" w:cstheme="majorBidi"/>
          <w:lang w:bidi="ar-EG"/>
        </w:rPr>
        <w:t>Hadith</w:t>
      </w:r>
      <w:r w:rsidRPr="00091205">
        <w:rPr>
          <w:rFonts w:ascii="Garamond" w:hAnsi="Garamond" w:cstheme="majorBidi"/>
          <w:lang w:bidi="ar-EG"/>
        </w:rPr>
        <w:t xml:space="preserve"> and returning to the guidance of the Prophet</w:t>
      </w:r>
      <w:r w:rsidR="00211D9D" w:rsidRPr="00091205">
        <w:rPr>
          <w:rFonts w:ascii="Garamond" w:hAnsi="Garamond" w:cstheme="majorBidi"/>
          <w:lang w:bidi="ar-EG"/>
        </w:rPr>
        <w:t xml:space="preserve"> Muhammad.</w:t>
      </w:r>
      <w:r w:rsidRPr="00091205">
        <w:rPr>
          <w:rFonts w:ascii="Garamond" w:hAnsi="Garamond" w:cstheme="majorBidi"/>
          <w:rtl/>
          <w:lang w:bidi="ar-EG"/>
        </w:rPr>
        <w:t xml:space="preserve"> </w:t>
      </w:r>
      <w:r w:rsidRPr="00091205">
        <w:rPr>
          <w:rFonts w:ascii="Garamond" w:hAnsi="Garamond" w:cstheme="majorBidi"/>
          <w:lang w:bidi="ar-EG"/>
        </w:rPr>
        <w:t>Some groups were influenced by Western thought, while others maintained the traditional approach</w:t>
      </w:r>
      <w:r w:rsidR="00FB14E1" w:rsidRPr="00091205">
        <w:rPr>
          <w:rFonts w:ascii="Garamond" w:hAnsi="Garamond" w:cstheme="majorBidi"/>
          <w:rtl/>
          <w:lang w:bidi="ar-EG"/>
        </w:rPr>
        <w:t>.</w:t>
      </w:r>
      <w:r w:rsidR="00FB14E1" w:rsidRPr="00091205">
        <w:rPr>
          <w:rStyle w:val="FootnoteReference"/>
          <w:rFonts w:ascii="Garamond" w:hAnsi="Garamond" w:cstheme="majorBidi"/>
          <w:lang w:bidi="ar-EG"/>
        </w:rPr>
        <w:footnoteReference w:id="4"/>
      </w:r>
      <w:r w:rsidR="00FB14E1" w:rsidRPr="00091205">
        <w:rPr>
          <w:rFonts w:ascii="Garamond" w:hAnsi="Garamond" w:cstheme="majorBidi"/>
          <w:rtl/>
          <w:lang w:bidi="ar-EG"/>
        </w:rPr>
        <w:t xml:space="preserve"> </w:t>
      </w:r>
      <w:r w:rsidRPr="00091205">
        <w:rPr>
          <w:rFonts w:ascii="Garamond" w:hAnsi="Garamond" w:cstheme="majorBidi"/>
          <w:lang w:bidi="ar-EG"/>
        </w:rPr>
        <w:t>Then, after Islamic universities started establishing in Indonesia, the subject became a requirement in all faculties.</w:t>
      </w:r>
      <w:r w:rsidR="00FB14E1" w:rsidRPr="00091205">
        <w:rPr>
          <w:rStyle w:val="FootnoteReference"/>
          <w:rFonts w:ascii="Garamond" w:hAnsi="Garamond" w:cs="Traditional Arabic"/>
          <w:rtl/>
          <w:lang w:bidi="ar-EG"/>
        </w:rPr>
        <w:footnoteReference w:id="5"/>
      </w:r>
    </w:p>
    <w:p w:rsidR="00FB14E1" w:rsidRPr="003E6F88" w:rsidRDefault="00211D9D" w:rsidP="004B7627">
      <w:pPr>
        <w:spacing w:line="276" w:lineRule="auto"/>
        <w:ind w:firstLine="720"/>
        <w:jc w:val="both"/>
        <w:rPr>
          <w:rFonts w:ascii="Garamond" w:hAnsi="Garamond" w:cs="Traditional Arabic"/>
          <w:sz w:val="36"/>
          <w:szCs w:val="36"/>
          <w:rtl/>
          <w:lang w:bidi="ar-EG"/>
        </w:rPr>
      </w:pPr>
      <w:r w:rsidRPr="00091205">
        <w:rPr>
          <w:rFonts w:ascii="Garamond" w:hAnsi="Garamond" w:cstheme="majorBidi"/>
          <w:lang w:bidi="ar-EG"/>
        </w:rPr>
        <w:t>Nevertheless, studies of the year have undergone significant changes in recent times, particularly following the emergence of hermeneutics in textual studies. Thi</w:t>
      </w:r>
      <w:r w:rsidR="004B7627">
        <w:rPr>
          <w:rFonts w:ascii="Garamond" w:hAnsi="Garamond" w:cstheme="majorBidi"/>
          <w:lang w:bidi="ar-EG"/>
        </w:rPr>
        <w:t>s method emerged in the mid-20</w:t>
      </w:r>
      <w:r w:rsidR="004B7627" w:rsidRPr="004B7627">
        <w:rPr>
          <w:rFonts w:ascii="Garamond" w:hAnsi="Garamond" w:cstheme="majorBidi"/>
          <w:vertAlign w:val="superscript"/>
          <w:lang w:bidi="ar-EG"/>
        </w:rPr>
        <w:t>th</w:t>
      </w:r>
      <w:r w:rsidRPr="00091205">
        <w:rPr>
          <w:rFonts w:ascii="Garamond" w:hAnsi="Garamond" w:cstheme="majorBidi"/>
          <w:lang w:bidi="ar-EG"/>
        </w:rPr>
        <w:t xml:space="preserve"> century and spread widely in Islamic universities at the end of </w:t>
      </w:r>
      <w:r w:rsidR="00853AA0" w:rsidRPr="00091205">
        <w:rPr>
          <w:rFonts w:ascii="Garamond" w:hAnsi="Garamond" w:cstheme="majorBidi"/>
          <w:lang w:bidi="ar-EG"/>
        </w:rPr>
        <w:t>that</w:t>
      </w:r>
      <w:r w:rsidRPr="00091205">
        <w:rPr>
          <w:rFonts w:ascii="Garamond" w:hAnsi="Garamond" w:cstheme="majorBidi"/>
          <w:lang w:bidi="ar-EG"/>
        </w:rPr>
        <w:t xml:space="preserve"> century.</w:t>
      </w:r>
      <w:r w:rsidR="00853AA0" w:rsidRPr="00091205">
        <w:rPr>
          <w:rStyle w:val="FootnoteReference"/>
          <w:rFonts w:ascii="Garamond" w:hAnsi="Garamond" w:cstheme="majorBidi"/>
          <w:lang w:bidi="ar-EG"/>
        </w:rPr>
        <w:footnoteReference w:id="6"/>
      </w:r>
      <w:r w:rsidRPr="00091205">
        <w:rPr>
          <w:rFonts w:ascii="Garamond" w:hAnsi="Garamond" w:cstheme="majorBidi"/>
          <w:lang w:bidi="ar-EG"/>
        </w:rPr>
        <w:t xml:space="preserve"> From this Hermeneutic idea, the study subsequently moved in a new direction, which was called the “Living Qur'an” and “Living Hadith” study. Since the influence of Hermeneutics was a traditionally controversial topic, some agreed on its importance while others rejected it.</w:t>
      </w:r>
      <w:r w:rsidR="00FB14E1" w:rsidRPr="00091205">
        <w:rPr>
          <w:rStyle w:val="FootnoteReference"/>
          <w:rFonts w:ascii="Garamond" w:hAnsi="Garamond" w:cstheme="majorBidi"/>
          <w:rtl/>
          <w:lang w:bidi="ar-EG"/>
        </w:rPr>
        <w:footnoteReference w:id="7"/>
      </w:r>
      <w:r w:rsidRPr="00091205">
        <w:rPr>
          <w:rFonts w:ascii="Garamond" w:hAnsi="Garamond" w:cstheme="majorBidi"/>
          <w:lang w:bidi="ar-EG"/>
        </w:rPr>
        <w:t xml:space="preserve"> Therefore, it is necessary to study the issue in greater depth. The study presented by the </w:t>
      </w:r>
      <w:r w:rsidR="004B7627" w:rsidRPr="004B7627">
        <w:rPr>
          <w:rFonts w:ascii="Garamond" w:hAnsi="Garamond" w:cstheme="majorBidi"/>
          <w:lang w:bidi="ar-EG"/>
        </w:rPr>
        <w:t>author</w:t>
      </w:r>
      <w:r w:rsidR="004B7627">
        <w:rPr>
          <w:rFonts w:ascii="Garamond" w:hAnsi="Garamond" w:cstheme="majorBidi"/>
          <w:lang w:bidi="ar-EG"/>
        </w:rPr>
        <w:t>s</w:t>
      </w:r>
      <w:r w:rsidRPr="00091205">
        <w:rPr>
          <w:rFonts w:ascii="Garamond" w:hAnsi="Garamond" w:cstheme="majorBidi"/>
          <w:lang w:bidi="ar-EG"/>
        </w:rPr>
        <w:t xml:space="preserve"> in this paper </w:t>
      </w:r>
      <w:r w:rsidR="004B7627">
        <w:rPr>
          <w:rFonts w:ascii="Garamond" w:hAnsi="Garamond" w:cstheme="majorBidi"/>
          <w:lang w:bidi="ar-EG"/>
        </w:rPr>
        <w:t>is</w:t>
      </w:r>
      <w:r w:rsidRPr="00091205">
        <w:rPr>
          <w:rFonts w:ascii="Garamond" w:hAnsi="Garamond" w:cstheme="majorBidi"/>
          <w:lang w:bidi="ar-EG"/>
        </w:rPr>
        <w:t xml:space="preserve"> a critical study of “Living Hadith” as a new approach to understanding the </w:t>
      </w:r>
      <w:r w:rsidR="004B7627">
        <w:rPr>
          <w:rFonts w:ascii="Garamond" w:hAnsi="Garamond" w:cstheme="majorBidi"/>
          <w:lang w:bidi="ar-EG"/>
        </w:rPr>
        <w:t>Hadith</w:t>
      </w:r>
      <w:r w:rsidRPr="00091205">
        <w:rPr>
          <w:rFonts w:ascii="Garamond" w:hAnsi="Garamond" w:cstheme="majorBidi"/>
          <w:lang w:bidi="ar-EG"/>
        </w:rPr>
        <w:t xml:space="preserve"> of the Prophet</w:t>
      </w:r>
      <w:r w:rsidR="004B7627">
        <w:rPr>
          <w:rFonts w:ascii="Garamond" w:hAnsi="Garamond" w:cstheme="majorBidi"/>
          <w:lang w:bidi="ar-EG"/>
        </w:rPr>
        <w:t xml:space="preserve"> Muhammad</w:t>
      </w:r>
      <w:r w:rsidR="00FB14E1" w:rsidRPr="00091205">
        <w:rPr>
          <w:rFonts w:ascii="Garamond" w:hAnsi="Garamond" w:cstheme="majorBidi"/>
          <w:rtl/>
          <w:lang w:bidi="ar-EG"/>
        </w:rPr>
        <w:t>.</w:t>
      </w:r>
    </w:p>
    <w:p w:rsidR="00FB14E1" w:rsidRPr="00091205" w:rsidRDefault="00853AA0" w:rsidP="004B0895">
      <w:pPr>
        <w:ind w:firstLine="720"/>
        <w:jc w:val="both"/>
        <w:rPr>
          <w:rFonts w:ascii="Garamond" w:hAnsi="Garamond" w:cstheme="majorBidi"/>
          <w:rtl/>
          <w:lang w:bidi="ar-EG"/>
        </w:rPr>
      </w:pPr>
      <w:r w:rsidRPr="00091205">
        <w:rPr>
          <w:rFonts w:ascii="Garamond" w:hAnsi="Garamond" w:cstheme="majorBidi"/>
          <w:lang w:bidi="ar-EG"/>
        </w:rPr>
        <w:t xml:space="preserve">A few research papers have been done on living hadith, both theoretically and practically, in the context of understanding the </w:t>
      </w:r>
      <w:proofErr w:type="spellStart"/>
      <w:r w:rsidRPr="00091205">
        <w:rPr>
          <w:rFonts w:ascii="Garamond" w:hAnsi="Garamond" w:cstheme="majorBidi"/>
          <w:lang w:bidi="ar-EG"/>
        </w:rPr>
        <w:t>Sunnah</w:t>
      </w:r>
      <w:proofErr w:type="spellEnd"/>
      <w:r w:rsidRPr="00091205">
        <w:rPr>
          <w:rFonts w:ascii="Garamond" w:hAnsi="Garamond" w:cstheme="majorBidi"/>
          <w:lang w:bidi="ar-EG"/>
        </w:rPr>
        <w:t xml:space="preserve">, like </w:t>
      </w:r>
      <w:r w:rsidR="006C010B">
        <w:rPr>
          <w:rFonts w:ascii="Garamond" w:hAnsi="Garamond" w:cstheme="majorBidi"/>
          <w:lang w:bidi="ar-EG"/>
        </w:rPr>
        <w:t xml:space="preserve">the one by </w:t>
      </w:r>
      <w:proofErr w:type="spellStart"/>
      <w:r w:rsidR="004B7627" w:rsidRPr="004B7627">
        <w:rPr>
          <w:rFonts w:ascii="Garamond" w:hAnsi="Garamond" w:cstheme="majorBidi"/>
          <w:lang w:bidi="ar-EG"/>
        </w:rPr>
        <w:t>Saifuddin</w:t>
      </w:r>
      <w:proofErr w:type="spellEnd"/>
      <w:r w:rsidR="004B7627" w:rsidRPr="004B7627">
        <w:rPr>
          <w:rFonts w:ascii="Garamond" w:hAnsi="Garamond" w:cstheme="majorBidi"/>
          <w:lang w:bidi="ar-EG"/>
        </w:rPr>
        <w:t xml:space="preserve"> </w:t>
      </w:r>
      <w:proofErr w:type="spellStart"/>
      <w:r w:rsidR="004B7627" w:rsidRPr="004B7627">
        <w:rPr>
          <w:rFonts w:ascii="Garamond" w:hAnsi="Garamond" w:cstheme="majorBidi"/>
          <w:lang w:bidi="ar-EG"/>
        </w:rPr>
        <w:t>Zuhri</w:t>
      </w:r>
      <w:proofErr w:type="spellEnd"/>
      <w:r w:rsidR="004B7627" w:rsidRPr="004B7627">
        <w:rPr>
          <w:rFonts w:ascii="Garamond" w:hAnsi="Garamond" w:cstheme="majorBidi"/>
          <w:lang w:bidi="ar-EG"/>
        </w:rPr>
        <w:t xml:space="preserve"> </w:t>
      </w:r>
      <w:proofErr w:type="spellStart"/>
      <w:r w:rsidR="004B7627" w:rsidRPr="004B7627">
        <w:rPr>
          <w:rFonts w:ascii="Garamond" w:hAnsi="Garamond" w:cstheme="majorBidi"/>
          <w:lang w:bidi="ar-EG"/>
        </w:rPr>
        <w:lastRenderedPageBreak/>
        <w:t>Qudsy</w:t>
      </w:r>
      <w:proofErr w:type="spellEnd"/>
      <w:r w:rsidRPr="00091205">
        <w:rPr>
          <w:rFonts w:ascii="Garamond" w:hAnsi="Garamond" w:cstheme="majorBidi"/>
          <w:lang w:bidi="ar-EG"/>
        </w:rPr>
        <w:t xml:space="preserve"> and his colleagues called “</w:t>
      </w:r>
      <w:r w:rsidRPr="00091205">
        <w:rPr>
          <w:rFonts w:ascii="Garamond" w:hAnsi="Garamond" w:cstheme="majorBidi"/>
          <w:i/>
          <w:iCs/>
          <w:lang w:bidi="ar-EG"/>
        </w:rPr>
        <w:t>The Making of Living Hadith: A New Direction of Hadith Studies in Indonesia</w:t>
      </w:r>
      <w:r w:rsidR="00412003" w:rsidRPr="00091205">
        <w:rPr>
          <w:rFonts w:ascii="Garamond" w:hAnsi="Garamond" w:cstheme="majorBidi"/>
          <w:lang w:bidi="ar-EG"/>
        </w:rPr>
        <w:t>”,</w:t>
      </w:r>
      <w:r w:rsidR="00FB14E1" w:rsidRPr="00091205">
        <w:rPr>
          <w:rStyle w:val="FootnoteReference"/>
          <w:rFonts w:ascii="Garamond" w:hAnsi="Garamond" w:cstheme="majorBidi"/>
          <w:rtl/>
          <w:lang w:bidi="ar-EG"/>
        </w:rPr>
        <w:footnoteReference w:id="8"/>
      </w:r>
      <w:r w:rsidR="00412003" w:rsidRPr="00091205">
        <w:rPr>
          <w:rFonts w:ascii="Garamond" w:hAnsi="Garamond" w:cstheme="majorBidi"/>
          <w:lang w:bidi="ar-EG"/>
        </w:rPr>
        <w:t xml:space="preserve"> </w:t>
      </w:r>
      <w:r w:rsidRPr="00091205">
        <w:rPr>
          <w:rFonts w:ascii="Garamond" w:hAnsi="Garamond" w:cstheme="majorBidi"/>
          <w:lang w:bidi="ar-EG"/>
        </w:rPr>
        <w:t>and the article entitled</w:t>
      </w:r>
      <w:r w:rsidR="00FB14E1" w:rsidRPr="00091205">
        <w:rPr>
          <w:rFonts w:ascii="Garamond" w:hAnsi="Garamond" w:cstheme="majorBidi"/>
          <w:rtl/>
          <w:lang w:bidi="ar-EG"/>
        </w:rPr>
        <w:t>: "</w:t>
      </w:r>
      <w:r w:rsidR="00FB14E1" w:rsidRPr="00091205">
        <w:rPr>
          <w:rFonts w:ascii="Garamond" w:hAnsi="Garamond" w:cstheme="majorBidi"/>
          <w:i/>
          <w:iCs/>
        </w:rPr>
        <w:t>Living Hadith as A Social Cultural Phenomenon of Indonesia: A Systematic Review of The Literature</w:t>
      </w:r>
      <w:r w:rsidR="00412003" w:rsidRPr="00091205">
        <w:rPr>
          <w:rFonts w:ascii="Garamond" w:hAnsi="Garamond" w:cstheme="majorBidi"/>
        </w:rPr>
        <w:t>”,</w:t>
      </w:r>
      <w:r w:rsidR="00FB14E1" w:rsidRPr="00091205">
        <w:rPr>
          <w:rStyle w:val="FootnoteReference"/>
          <w:rFonts w:ascii="Garamond" w:hAnsi="Garamond" w:cstheme="majorBidi"/>
          <w:rtl/>
          <w:lang w:bidi="ar-EG"/>
        </w:rPr>
        <w:footnoteReference w:id="9"/>
      </w:r>
      <w:r w:rsidR="00412003" w:rsidRPr="00091205">
        <w:rPr>
          <w:rFonts w:ascii="Garamond" w:hAnsi="Garamond" w:cstheme="majorBidi"/>
          <w:lang w:bidi="ar-EG"/>
        </w:rPr>
        <w:t xml:space="preserve"> </w:t>
      </w:r>
      <w:r w:rsidR="004B7627">
        <w:rPr>
          <w:rFonts w:ascii="Garamond" w:hAnsi="Garamond" w:cstheme="majorBidi"/>
          <w:lang w:bidi="ar-EG"/>
        </w:rPr>
        <w:t>and t</w:t>
      </w:r>
      <w:r w:rsidRPr="00091205">
        <w:rPr>
          <w:rFonts w:ascii="Garamond" w:hAnsi="Garamond" w:cstheme="majorBidi"/>
          <w:lang w:bidi="ar-EG"/>
        </w:rPr>
        <w:t>he article deals with the application of this perspective: “</w:t>
      </w:r>
      <w:r w:rsidRPr="00091205">
        <w:rPr>
          <w:rFonts w:ascii="Garamond" w:hAnsi="Garamond" w:cstheme="majorBidi"/>
          <w:i/>
          <w:iCs/>
          <w:lang w:bidi="ar-EG"/>
        </w:rPr>
        <w:t xml:space="preserve">The Concept of Prayers in the </w:t>
      </w:r>
      <w:proofErr w:type="spellStart"/>
      <w:r w:rsidRPr="00091205">
        <w:rPr>
          <w:rFonts w:ascii="Garamond" w:hAnsi="Garamond" w:cstheme="majorBidi"/>
          <w:i/>
          <w:iCs/>
          <w:lang w:bidi="ar-EG"/>
        </w:rPr>
        <w:t>Joged</w:t>
      </w:r>
      <w:proofErr w:type="spellEnd"/>
      <w:r w:rsidRPr="00091205">
        <w:rPr>
          <w:rFonts w:ascii="Garamond" w:hAnsi="Garamond" w:cstheme="majorBidi"/>
          <w:i/>
          <w:iCs/>
          <w:lang w:bidi="ar-EG"/>
        </w:rPr>
        <w:t xml:space="preserve"> </w:t>
      </w:r>
      <w:proofErr w:type="spellStart"/>
      <w:r w:rsidRPr="00091205">
        <w:rPr>
          <w:rFonts w:ascii="Garamond" w:hAnsi="Garamond" w:cstheme="majorBidi"/>
          <w:i/>
          <w:iCs/>
          <w:lang w:bidi="ar-EG"/>
        </w:rPr>
        <w:t>Shalawat</w:t>
      </w:r>
      <w:proofErr w:type="spellEnd"/>
      <w:r w:rsidRPr="00091205">
        <w:rPr>
          <w:rFonts w:ascii="Garamond" w:hAnsi="Garamond" w:cstheme="majorBidi"/>
          <w:i/>
          <w:iCs/>
          <w:lang w:bidi="ar-EG"/>
        </w:rPr>
        <w:t xml:space="preserve"> </w:t>
      </w:r>
      <w:proofErr w:type="spellStart"/>
      <w:r w:rsidRPr="00091205">
        <w:rPr>
          <w:rFonts w:ascii="Garamond" w:hAnsi="Garamond" w:cstheme="majorBidi"/>
          <w:i/>
          <w:iCs/>
          <w:lang w:bidi="ar-EG"/>
        </w:rPr>
        <w:t>Mataram</w:t>
      </w:r>
      <w:proofErr w:type="spellEnd"/>
      <w:r w:rsidRPr="00091205">
        <w:rPr>
          <w:rFonts w:ascii="Garamond" w:hAnsi="Garamond" w:cstheme="majorBidi"/>
          <w:i/>
          <w:iCs/>
          <w:lang w:bidi="ar-EG"/>
        </w:rPr>
        <w:t xml:space="preserve"> Group: A Study in Living Hadith</w:t>
      </w:r>
      <w:r w:rsidR="00412003" w:rsidRPr="00091205">
        <w:rPr>
          <w:rFonts w:ascii="Garamond" w:hAnsi="Garamond" w:cstheme="majorBidi"/>
          <w:lang w:bidi="ar-EG"/>
        </w:rPr>
        <w:t>”.</w:t>
      </w:r>
      <w:r w:rsidR="00FB14E1" w:rsidRPr="00091205">
        <w:rPr>
          <w:rStyle w:val="FootnoteReference"/>
          <w:rFonts w:ascii="Garamond" w:hAnsi="Garamond" w:cstheme="majorBidi"/>
          <w:rtl/>
          <w:lang w:bidi="ar-EG"/>
        </w:rPr>
        <w:footnoteReference w:id="10"/>
      </w:r>
      <w:r w:rsidR="00412003" w:rsidRPr="00091205">
        <w:rPr>
          <w:rFonts w:ascii="Garamond" w:hAnsi="Garamond" w:cstheme="majorBidi"/>
          <w:lang w:bidi="ar-EG"/>
        </w:rPr>
        <w:t xml:space="preserve"> </w:t>
      </w:r>
      <w:r w:rsidRPr="00091205">
        <w:rPr>
          <w:rFonts w:ascii="Garamond" w:hAnsi="Garamond" w:cstheme="majorBidi"/>
          <w:lang w:bidi="ar-EG"/>
        </w:rPr>
        <w:t>Reading these articles, however, it can be understood that they generally agree on the study of the living hadith</w:t>
      </w:r>
      <w:r w:rsidR="00FB14E1" w:rsidRPr="00091205">
        <w:rPr>
          <w:rFonts w:ascii="Garamond" w:hAnsi="Garamond" w:cstheme="majorBidi"/>
          <w:rtl/>
          <w:lang w:bidi="ar-EG"/>
        </w:rPr>
        <w:t>.</w:t>
      </w:r>
      <w:r w:rsidR="004B0895">
        <w:rPr>
          <w:rFonts w:ascii="Garamond" w:hAnsi="Garamond" w:cstheme="majorBidi"/>
          <w:lang w:bidi="ar-EG"/>
        </w:rPr>
        <w:t xml:space="preserve"> </w:t>
      </w:r>
      <w:r w:rsidR="004B0895" w:rsidRPr="004B0895">
        <w:rPr>
          <w:rFonts w:ascii="Garamond" w:hAnsi="Garamond" w:cstheme="majorBidi"/>
          <w:lang w:bidi="ar-EG"/>
        </w:rPr>
        <w:t>However, there is one article titled "</w:t>
      </w:r>
      <w:r w:rsidR="004B0895" w:rsidRPr="004B0895">
        <w:rPr>
          <w:rFonts w:ascii="Garamond" w:hAnsi="Garamond" w:cstheme="majorBidi"/>
          <w:i/>
          <w:iCs/>
          <w:lang w:bidi="ar-EG"/>
        </w:rPr>
        <w:t xml:space="preserve">Living Hadith </w:t>
      </w:r>
      <w:r w:rsidR="004B0895">
        <w:rPr>
          <w:rFonts w:ascii="Garamond" w:hAnsi="Garamond" w:cstheme="majorBidi"/>
          <w:i/>
          <w:iCs/>
          <w:lang w:bidi="ar-EG"/>
        </w:rPr>
        <w:t>a</w:t>
      </w:r>
      <w:r w:rsidR="004B0895" w:rsidRPr="004B0895">
        <w:rPr>
          <w:rFonts w:ascii="Garamond" w:hAnsi="Garamond" w:cstheme="majorBidi"/>
          <w:i/>
          <w:iCs/>
          <w:lang w:bidi="ar-EG"/>
        </w:rPr>
        <w:t xml:space="preserve">s </w:t>
      </w:r>
      <w:r w:rsidR="004B0895">
        <w:rPr>
          <w:rFonts w:ascii="Garamond" w:hAnsi="Garamond" w:cstheme="majorBidi"/>
          <w:i/>
          <w:iCs/>
          <w:lang w:bidi="ar-EG"/>
        </w:rPr>
        <w:t>a</w:t>
      </w:r>
      <w:r w:rsidR="004B0895" w:rsidRPr="004B0895">
        <w:rPr>
          <w:rFonts w:ascii="Garamond" w:hAnsi="Garamond" w:cstheme="majorBidi"/>
          <w:i/>
          <w:iCs/>
          <w:lang w:bidi="ar-EG"/>
        </w:rPr>
        <w:t xml:space="preserve"> Social Cultural Phenomenon </w:t>
      </w:r>
      <w:r w:rsidR="004B0895">
        <w:rPr>
          <w:rFonts w:ascii="Garamond" w:hAnsi="Garamond" w:cstheme="majorBidi"/>
          <w:i/>
          <w:iCs/>
          <w:lang w:bidi="ar-EG"/>
        </w:rPr>
        <w:t>o</w:t>
      </w:r>
      <w:r w:rsidR="004B0895" w:rsidRPr="004B0895">
        <w:rPr>
          <w:rFonts w:ascii="Garamond" w:hAnsi="Garamond" w:cstheme="majorBidi"/>
          <w:i/>
          <w:iCs/>
          <w:lang w:bidi="ar-EG"/>
        </w:rPr>
        <w:t xml:space="preserve">f Indonesia: A Systematic Review </w:t>
      </w:r>
      <w:r w:rsidR="004B0895">
        <w:rPr>
          <w:rFonts w:ascii="Garamond" w:hAnsi="Garamond" w:cstheme="majorBidi"/>
          <w:i/>
          <w:iCs/>
          <w:lang w:bidi="ar-EG"/>
        </w:rPr>
        <w:t>o</w:t>
      </w:r>
      <w:r w:rsidR="004B0895" w:rsidRPr="004B0895">
        <w:rPr>
          <w:rFonts w:ascii="Garamond" w:hAnsi="Garamond" w:cstheme="majorBidi"/>
          <w:i/>
          <w:iCs/>
          <w:lang w:bidi="ar-EG"/>
        </w:rPr>
        <w:t xml:space="preserve">f </w:t>
      </w:r>
      <w:r w:rsidR="004B0895">
        <w:rPr>
          <w:rFonts w:ascii="Garamond" w:hAnsi="Garamond" w:cstheme="majorBidi"/>
          <w:i/>
          <w:iCs/>
          <w:lang w:bidi="ar-EG"/>
        </w:rPr>
        <w:t>t</w:t>
      </w:r>
      <w:r w:rsidR="004B0895" w:rsidRPr="004B0895">
        <w:rPr>
          <w:rFonts w:ascii="Garamond" w:hAnsi="Garamond" w:cstheme="majorBidi"/>
          <w:i/>
          <w:iCs/>
          <w:lang w:bidi="ar-EG"/>
        </w:rPr>
        <w:t>he Literature</w:t>
      </w:r>
      <w:r w:rsidR="004B0895" w:rsidRPr="004B0895">
        <w:rPr>
          <w:rFonts w:ascii="Garamond" w:hAnsi="Garamond" w:cstheme="majorBidi"/>
          <w:lang w:bidi="ar-EG"/>
        </w:rPr>
        <w:t xml:space="preserve">" written by </w:t>
      </w:r>
      <w:proofErr w:type="spellStart"/>
      <w:r w:rsidR="004B0895" w:rsidRPr="004B0895">
        <w:rPr>
          <w:rFonts w:ascii="Garamond" w:hAnsi="Garamond" w:cstheme="majorBidi"/>
          <w:lang w:bidi="ar-EG"/>
        </w:rPr>
        <w:t>Norsaleha</w:t>
      </w:r>
      <w:proofErr w:type="spellEnd"/>
      <w:r w:rsidR="004B0895" w:rsidRPr="004B0895">
        <w:rPr>
          <w:rFonts w:ascii="Garamond" w:hAnsi="Garamond" w:cstheme="majorBidi"/>
          <w:lang w:bidi="ar-EG"/>
        </w:rPr>
        <w:t xml:space="preserve"> </w:t>
      </w:r>
      <w:proofErr w:type="spellStart"/>
      <w:r w:rsidR="004B0895" w:rsidRPr="004B0895">
        <w:rPr>
          <w:rFonts w:ascii="Garamond" w:hAnsi="Garamond" w:cstheme="majorBidi"/>
          <w:lang w:bidi="ar-EG"/>
        </w:rPr>
        <w:t>Mohd</w:t>
      </w:r>
      <w:proofErr w:type="spellEnd"/>
      <w:r w:rsidR="004B0895" w:rsidRPr="004B0895">
        <w:rPr>
          <w:rFonts w:ascii="Garamond" w:hAnsi="Garamond" w:cstheme="majorBidi"/>
          <w:lang w:bidi="ar-EG"/>
        </w:rPr>
        <w:t xml:space="preserve">. </w:t>
      </w:r>
      <w:proofErr w:type="spellStart"/>
      <w:r w:rsidR="004B0895" w:rsidRPr="004B0895">
        <w:rPr>
          <w:rFonts w:ascii="Garamond" w:hAnsi="Garamond" w:cstheme="majorBidi"/>
          <w:lang w:bidi="ar-EG"/>
        </w:rPr>
        <w:t>Salleh</w:t>
      </w:r>
      <w:proofErr w:type="spellEnd"/>
      <w:r w:rsidR="004B0895" w:rsidRPr="004B0895">
        <w:rPr>
          <w:rFonts w:ascii="Garamond" w:hAnsi="Garamond" w:cstheme="majorBidi"/>
          <w:lang w:bidi="ar-EG"/>
        </w:rPr>
        <w:t xml:space="preserve"> and several other authors argue that acculturation should be approached with caution. It is necessary to distinguish between what is acceptable and what is unacceptable, particularly those that do not reflect the teachings of the </w:t>
      </w:r>
      <w:proofErr w:type="spellStart"/>
      <w:r w:rsidR="004B0895" w:rsidRPr="004B0895">
        <w:rPr>
          <w:rFonts w:ascii="Garamond" w:hAnsi="Garamond" w:cstheme="majorBidi"/>
          <w:i/>
          <w:iCs/>
          <w:lang w:bidi="ar-EG"/>
        </w:rPr>
        <w:t>Sunnah</w:t>
      </w:r>
      <w:proofErr w:type="spellEnd"/>
      <w:r w:rsidR="004B0895" w:rsidRPr="004B0895">
        <w:rPr>
          <w:rFonts w:ascii="Garamond" w:hAnsi="Garamond" w:cstheme="majorBidi"/>
          <w:i/>
          <w:iCs/>
          <w:lang w:bidi="ar-EG"/>
        </w:rPr>
        <w:t xml:space="preserve"> </w:t>
      </w:r>
      <w:proofErr w:type="spellStart"/>
      <w:r w:rsidR="004B0895" w:rsidRPr="004B0895">
        <w:rPr>
          <w:rFonts w:ascii="Garamond" w:hAnsi="Garamond" w:cstheme="majorBidi"/>
          <w:i/>
          <w:iCs/>
          <w:lang w:bidi="ar-EG"/>
        </w:rPr>
        <w:t>Wal</w:t>
      </w:r>
      <w:proofErr w:type="spellEnd"/>
      <w:r w:rsidR="004B0895" w:rsidRPr="004B0895">
        <w:rPr>
          <w:rFonts w:ascii="Garamond" w:hAnsi="Garamond" w:cstheme="majorBidi"/>
          <w:i/>
          <w:iCs/>
          <w:lang w:bidi="ar-EG"/>
        </w:rPr>
        <w:t xml:space="preserve"> </w:t>
      </w:r>
      <w:proofErr w:type="spellStart"/>
      <w:r w:rsidR="004B0895" w:rsidRPr="004B0895">
        <w:rPr>
          <w:rFonts w:ascii="Garamond" w:hAnsi="Garamond" w:cstheme="majorBidi"/>
          <w:i/>
          <w:iCs/>
          <w:lang w:bidi="ar-EG"/>
        </w:rPr>
        <w:t>Jamaah</w:t>
      </w:r>
      <w:proofErr w:type="spellEnd"/>
      <w:r w:rsidR="004B0895" w:rsidRPr="004B0895">
        <w:rPr>
          <w:rFonts w:ascii="Garamond" w:hAnsi="Garamond" w:cstheme="majorBidi"/>
          <w:lang w:bidi="ar-EG"/>
        </w:rPr>
        <w:t xml:space="preserve"> scholars. The authors do not entirely reject the living Hadith method. Still, they argue that caution is needed in understanding the Hadith about the community's understanding of religion within their society.</w:t>
      </w:r>
      <w:r w:rsidR="004B0895">
        <w:rPr>
          <w:rStyle w:val="FootnoteReference"/>
          <w:rFonts w:ascii="Garamond" w:hAnsi="Garamond" w:cstheme="majorBidi"/>
          <w:lang w:bidi="ar-EG"/>
        </w:rPr>
        <w:footnoteReference w:id="11"/>
      </w:r>
    </w:p>
    <w:p w:rsidR="00FB14E1" w:rsidRDefault="00412003" w:rsidP="008C0625">
      <w:pPr>
        <w:ind w:firstLine="720"/>
        <w:jc w:val="both"/>
        <w:rPr>
          <w:rFonts w:ascii="Garamond" w:hAnsi="Garamond" w:cstheme="majorBidi"/>
        </w:rPr>
      </w:pPr>
      <w:r w:rsidRPr="00091205">
        <w:rPr>
          <w:rFonts w:ascii="Garamond" w:hAnsi="Garamond" w:cstheme="majorBidi"/>
        </w:rPr>
        <w:t xml:space="preserve">From this standpoint, this research aims to analyze the phenomenon from a critical perspective by following the intellectual and historical roots of the concept of “Living Hadith,” deconstructing its theoretical structure, reviewing its practical applications in Indonesian society, and evaluating the impact on the understanding of the </w:t>
      </w:r>
      <w:r w:rsidR="008C0625">
        <w:rPr>
          <w:rFonts w:ascii="Garamond" w:hAnsi="Garamond" w:cstheme="majorBidi"/>
        </w:rPr>
        <w:t>Hadith</w:t>
      </w:r>
      <w:r w:rsidRPr="00091205">
        <w:rPr>
          <w:rFonts w:ascii="Garamond" w:hAnsi="Garamond" w:cstheme="majorBidi"/>
        </w:rPr>
        <w:t>. The study aims to provide an objective reading of this trend and to clarify the extent to which it is consistent or inconsistent with the scientific approach to the study of hadith, in order to preserve the status of the prophetic texts and ensure their correct understanding and application in contemporary reality</w:t>
      </w:r>
      <w:r w:rsidRPr="00091205">
        <w:rPr>
          <w:rFonts w:ascii="Garamond" w:hAnsi="Garamond" w:cstheme="majorBidi"/>
          <w:rtl/>
        </w:rPr>
        <w:t>.</w:t>
      </w:r>
    </w:p>
    <w:p w:rsidR="008043E4" w:rsidRDefault="008043E4" w:rsidP="008C0625">
      <w:pPr>
        <w:ind w:firstLine="720"/>
        <w:jc w:val="both"/>
        <w:rPr>
          <w:rFonts w:ascii="Garamond" w:hAnsi="Garamond" w:cstheme="majorBidi"/>
        </w:rPr>
      </w:pPr>
    </w:p>
    <w:p w:rsidR="008043E4" w:rsidRDefault="008043E4" w:rsidP="008043E4">
      <w:pPr>
        <w:jc w:val="both"/>
        <w:rPr>
          <w:rFonts w:ascii="Garamond" w:hAnsi="Garamond" w:cstheme="majorBidi"/>
          <w:b/>
          <w:bCs/>
        </w:rPr>
      </w:pPr>
      <w:r w:rsidRPr="008043E4">
        <w:rPr>
          <w:rFonts w:ascii="Garamond" w:hAnsi="Garamond" w:cstheme="majorBidi"/>
          <w:b/>
          <w:bCs/>
        </w:rPr>
        <w:t>Method</w:t>
      </w:r>
    </w:p>
    <w:p w:rsidR="008043E4" w:rsidRPr="008043E4" w:rsidRDefault="008043E4" w:rsidP="005C31FD">
      <w:pPr>
        <w:ind w:firstLine="720"/>
        <w:jc w:val="both"/>
        <w:rPr>
          <w:rFonts w:ascii="Garamond" w:hAnsi="Garamond" w:cstheme="majorBidi"/>
        </w:rPr>
      </w:pPr>
      <w:r w:rsidRPr="008043E4">
        <w:rPr>
          <w:rFonts w:ascii="Garamond" w:hAnsi="Garamond" w:cstheme="majorBidi"/>
        </w:rPr>
        <w:t>This study uses a qualitative-descriptive approach with an analytical-critical style. The study was conducted through library research of relevant primary and secondary literature, including classical works by hadith scholars and contemporary research on the methodology of Living Hadith in Indonesia.</w:t>
      </w:r>
      <w:r>
        <w:rPr>
          <w:rFonts w:ascii="Garamond" w:hAnsi="Garamond" w:cstheme="majorBidi"/>
        </w:rPr>
        <w:t xml:space="preserve"> </w:t>
      </w:r>
      <w:r w:rsidRPr="008043E4">
        <w:rPr>
          <w:rFonts w:ascii="Garamond" w:hAnsi="Garamond" w:cstheme="majorBidi"/>
        </w:rPr>
        <w:t xml:space="preserve">The primary sources of this research include authoritative hadith literature such as </w:t>
      </w:r>
      <w:proofErr w:type="spellStart"/>
      <w:r w:rsidRPr="008F1342">
        <w:rPr>
          <w:rFonts w:ascii="Garamond" w:hAnsi="Garamond" w:cstheme="majorBidi"/>
          <w:i/>
          <w:iCs/>
        </w:rPr>
        <w:t>Sahih</w:t>
      </w:r>
      <w:proofErr w:type="spellEnd"/>
      <w:r w:rsidRPr="008F1342">
        <w:rPr>
          <w:rFonts w:ascii="Garamond" w:hAnsi="Garamond" w:cstheme="majorBidi"/>
          <w:i/>
          <w:iCs/>
        </w:rPr>
        <w:t xml:space="preserve"> al-</w:t>
      </w:r>
      <w:proofErr w:type="spellStart"/>
      <w:r w:rsidRPr="008F1342">
        <w:rPr>
          <w:rFonts w:ascii="Garamond" w:hAnsi="Garamond" w:cstheme="majorBidi"/>
          <w:i/>
          <w:iCs/>
        </w:rPr>
        <w:t>Bukhari</w:t>
      </w:r>
      <w:proofErr w:type="spellEnd"/>
      <w:r w:rsidRPr="008043E4">
        <w:rPr>
          <w:rFonts w:ascii="Garamond" w:hAnsi="Garamond" w:cstheme="majorBidi"/>
        </w:rPr>
        <w:t xml:space="preserve">, </w:t>
      </w:r>
      <w:proofErr w:type="spellStart"/>
      <w:r w:rsidRPr="008F1342">
        <w:rPr>
          <w:rFonts w:ascii="Garamond" w:hAnsi="Garamond" w:cstheme="majorBidi"/>
          <w:i/>
          <w:iCs/>
        </w:rPr>
        <w:t>Sahih</w:t>
      </w:r>
      <w:proofErr w:type="spellEnd"/>
      <w:r w:rsidRPr="008F1342">
        <w:rPr>
          <w:rFonts w:ascii="Garamond" w:hAnsi="Garamond" w:cstheme="majorBidi"/>
          <w:i/>
          <w:iCs/>
        </w:rPr>
        <w:t xml:space="preserve"> Muslim</w:t>
      </w:r>
      <w:r w:rsidRPr="008043E4">
        <w:rPr>
          <w:rFonts w:ascii="Garamond" w:hAnsi="Garamond" w:cstheme="majorBidi"/>
        </w:rPr>
        <w:t xml:space="preserve">, as well as books of hadith scholars that discuss authority and </w:t>
      </w:r>
      <w:proofErr w:type="spellStart"/>
      <w:r w:rsidRPr="008F1342">
        <w:rPr>
          <w:rFonts w:ascii="Garamond" w:hAnsi="Garamond" w:cstheme="majorBidi"/>
          <w:i/>
          <w:iCs/>
        </w:rPr>
        <w:t>sanad-matan</w:t>
      </w:r>
      <w:proofErr w:type="spellEnd"/>
      <w:r w:rsidRPr="008043E4">
        <w:rPr>
          <w:rFonts w:ascii="Garamond" w:hAnsi="Garamond" w:cstheme="majorBidi"/>
        </w:rPr>
        <w:t xml:space="preserve"> methodology. Secondary sources include journal articles, dissertations, and academic works that highlight the phenomenon of Living Hadith, especially within UIN </w:t>
      </w:r>
      <w:proofErr w:type="spellStart"/>
      <w:r w:rsidRPr="008043E4">
        <w:rPr>
          <w:rFonts w:ascii="Garamond" w:hAnsi="Garamond" w:cstheme="majorBidi"/>
        </w:rPr>
        <w:t>Sunan</w:t>
      </w:r>
      <w:proofErr w:type="spellEnd"/>
      <w:r w:rsidRPr="008043E4">
        <w:rPr>
          <w:rFonts w:ascii="Garamond" w:hAnsi="Garamond" w:cstheme="majorBidi"/>
        </w:rPr>
        <w:t xml:space="preserve"> </w:t>
      </w:r>
      <w:proofErr w:type="spellStart"/>
      <w:r w:rsidRPr="008043E4">
        <w:rPr>
          <w:rFonts w:ascii="Garamond" w:hAnsi="Garamond" w:cstheme="majorBidi"/>
        </w:rPr>
        <w:t>Kalijaga</w:t>
      </w:r>
      <w:proofErr w:type="spellEnd"/>
      <w:r w:rsidRPr="008043E4">
        <w:rPr>
          <w:rFonts w:ascii="Garamond" w:hAnsi="Garamond" w:cstheme="majorBidi"/>
        </w:rPr>
        <w:t xml:space="preserve"> and other Islamic universities.</w:t>
      </w:r>
    </w:p>
    <w:p w:rsidR="009F5DEF" w:rsidRDefault="008043E4" w:rsidP="008F1342">
      <w:pPr>
        <w:ind w:firstLine="720"/>
        <w:jc w:val="both"/>
        <w:rPr>
          <w:rFonts w:ascii="Garamond" w:hAnsi="Garamond" w:cstheme="majorBidi"/>
        </w:rPr>
      </w:pPr>
      <w:r w:rsidRPr="008043E4">
        <w:rPr>
          <w:rFonts w:ascii="Garamond" w:hAnsi="Garamond" w:cstheme="majorBidi"/>
        </w:rPr>
        <w:t xml:space="preserve">The data analysis technique uses historical and genealogical analysis to trace the roots of the emergence of the Living Hadith concept. The study was conducted in three stages: Firstly, Data inventory, namely collecting and classifying literature on the idea of Living Hadith and its development in Indonesia. Secondly, Critical analysis involves analyzing the arguments supporting the Living Hadith method by comparing it to the methodology of </w:t>
      </w:r>
      <w:r w:rsidRPr="008043E4">
        <w:rPr>
          <w:rFonts w:ascii="Garamond" w:hAnsi="Garamond" w:cstheme="majorBidi"/>
        </w:rPr>
        <w:lastRenderedPageBreak/>
        <w:t xml:space="preserve">classical hadith science. The </w:t>
      </w:r>
      <w:r w:rsidR="008F1342">
        <w:rPr>
          <w:rFonts w:ascii="Garamond" w:hAnsi="Garamond" w:cstheme="majorBidi"/>
        </w:rPr>
        <w:t>t</w:t>
      </w:r>
      <w:r w:rsidRPr="008043E4">
        <w:rPr>
          <w:rFonts w:ascii="Garamond" w:hAnsi="Garamond" w:cstheme="majorBidi"/>
        </w:rPr>
        <w:t xml:space="preserve">hird: Normative evaluation, which is to evaluate the extent to which the Living Hadith approach deviates from the principles of hadith science, as well as its impact on the understanding of the </w:t>
      </w:r>
      <w:r w:rsidR="008F1342">
        <w:rPr>
          <w:rFonts w:ascii="Garamond" w:hAnsi="Garamond" w:cstheme="majorBidi"/>
        </w:rPr>
        <w:t>Hadith</w:t>
      </w:r>
      <w:r w:rsidRPr="008043E4">
        <w:rPr>
          <w:rFonts w:ascii="Garamond" w:hAnsi="Garamond" w:cstheme="majorBidi"/>
        </w:rPr>
        <w:t xml:space="preserve"> in Indonesian Muslim society.</w:t>
      </w:r>
    </w:p>
    <w:p w:rsidR="009F5DEF" w:rsidRDefault="009F5DEF" w:rsidP="005C31FD">
      <w:pPr>
        <w:jc w:val="both"/>
        <w:rPr>
          <w:rFonts w:ascii="Garamond" w:hAnsi="Garamond" w:cstheme="majorBidi"/>
          <w:b/>
          <w:bCs/>
          <w:lang w:bidi="ar-EG"/>
        </w:rPr>
      </w:pPr>
    </w:p>
    <w:p w:rsidR="005C31FD" w:rsidRPr="00412003" w:rsidRDefault="005C31FD" w:rsidP="005C31FD">
      <w:pPr>
        <w:jc w:val="both"/>
        <w:rPr>
          <w:rFonts w:ascii="Garamond" w:hAnsi="Garamond" w:cstheme="majorBidi"/>
          <w:b/>
          <w:bCs/>
          <w:rtl/>
          <w:lang w:bidi="ar-EG"/>
        </w:rPr>
      </w:pPr>
      <w:r>
        <w:rPr>
          <w:rFonts w:ascii="Garamond" w:hAnsi="Garamond" w:cstheme="majorBidi"/>
          <w:b/>
          <w:bCs/>
          <w:lang w:bidi="ar-EG"/>
        </w:rPr>
        <w:t>Results and Discussion</w:t>
      </w:r>
    </w:p>
    <w:p w:rsidR="00FB14E1" w:rsidRPr="009F5DEF" w:rsidRDefault="009F5DEF" w:rsidP="009F5DEF">
      <w:pPr>
        <w:jc w:val="both"/>
        <w:rPr>
          <w:rFonts w:ascii="Traditional Arabic" w:hAnsi="Traditional Arabic" w:cs="Traditional Arabic"/>
          <w:b/>
          <w:bCs/>
          <w:lang w:bidi="ar-EG"/>
        </w:rPr>
      </w:pPr>
      <w:r w:rsidRPr="009F5DEF">
        <w:rPr>
          <w:rFonts w:ascii="Traditional Arabic" w:hAnsi="Traditional Arabic" w:cs="Traditional Arabic"/>
          <w:b/>
          <w:bCs/>
          <w:lang w:bidi="ar-EG"/>
        </w:rPr>
        <w:t xml:space="preserve">The Concept </w:t>
      </w:r>
      <w:r>
        <w:rPr>
          <w:rFonts w:ascii="Traditional Arabic" w:hAnsi="Traditional Arabic" w:cs="Traditional Arabic"/>
          <w:b/>
          <w:bCs/>
          <w:lang w:bidi="ar-EG"/>
        </w:rPr>
        <w:t>o</w:t>
      </w:r>
      <w:r w:rsidRPr="009F5DEF">
        <w:rPr>
          <w:rFonts w:ascii="Traditional Arabic" w:hAnsi="Traditional Arabic" w:cs="Traditional Arabic"/>
          <w:b/>
          <w:bCs/>
          <w:lang w:bidi="ar-EG"/>
        </w:rPr>
        <w:t xml:space="preserve">f Living Hadith </w:t>
      </w:r>
      <w:r>
        <w:rPr>
          <w:rFonts w:ascii="Traditional Arabic" w:hAnsi="Traditional Arabic" w:cs="Traditional Arabic"/>
          <w:b/>
          <w:bCs/>
          <w:lang w:bidi="ar-EG"/>
        </w:rPr>
        <w:t>a</w:t>
      </w:r>
      <w:r w:rsidRPr="009F5DEF">
        <w:rPr>
          <w:rFonts w:ascii="Traditional Arabic" w:hAnsi="Traditional Arabic" w:cs="Traditional Arabic"/>
          <w:b/>
          <w:bCs/>
          <w:lang w:bidi="ar-EG"/>
        </w:rPr>
        <w:t xml:space="preserve">nd Its Development </w:t>
      </w:r>
      <w:r>
        <w:rPr>
          <w:rFonts w:ascii="Traditional Arabic" w:hAnsi="Traditional Arabic" w:cs="Traditional Arabic"/>
          <w:b/>
          <w:bCs/>
          <w:lang w:bidi="ar-EG"/>
        </w:rPr>
        <w:t>i</w:t>
      </w:r>
      <w:r w:rsidRPr="009F5DEF">
        <w:rPr>
          <w:rFonts w:ascii="Traditional Arabic" w:hAnsi="Traditional Arabic" w:cs="Traditional Arabic"/>
          <w:b/>
          <w:bCs/>
          <w:lang w:bidi="ar-EG"/>
        </w:rPr>
        <w:t>n Indonesia</w:t>
      </w:r>
    </w:p>
    <w:p w:rsidR="00FB14E1" w:rsidRPr="00091205" w:rsidRDefault="009F5DEF" w:rsidP="005C31FD">
      <w:pPr>
        <w:ind w:firstLine="720"/>
        <w:jc w:val="both"/>
        <w:rPr>
          <w:rFonts w:ascii="Garamond" w:hAnsi="Garamond" w:cs="Traditional Arabic"/>
          <w:sz w:val="36"/>
          <w:szCs w:val="36"/>
          <w:rtl/>
          <w:lang w:bidi="ar-EG"/>
        </w:rPr>
      </w:pPr>
      <w:r w:rsidRPr="00091205">
        <w:rPr>
          <w:rFonts w:ascii="Garamond" w:hAnsi="Garamond" w:cs="Traditional Arabic"/>
          <w:lang w:bidi="ar-EG"/>
        </w:rPr>
        <w:t xml:space="preserve">The term </w:t>
      </w:r>
      <w:r w:rsidR="00091205">
        <w:rPr>
          <w:rFonts w:ascii="Garamond" w:hAnsi="Garamond" w:cs="Traditional Arabic"/>
          <w:lang w:bidi="ar-EG"/>
        </w:rPr>
        <w:t>“</w:t>
      </w:r>
      <w:r w:rsidRPr="00091205">
        <w:rPr>
          <w:rFonts w:ascii="Garamond" w:hAnsi="Garamond" w:cs="Traditional Arabic"/>
          <w:lang w:bidi="ar-EG"/>
        </w:rPr>
        <w:t>Living Hadith</w:t>
      </w:r>
      <w:r w:rsidR="00091205">
        <w:rPr>
          <w:rFonts w:ascii="Garamond" w:hAnsi="Garamond" w:cs="Traditional Arabic"/>
          <w:lang w:bidi="ar-EG"/>
        </w:rPr>
        <w:t>”</w:t>
      </w:r>
      <w:r w:rsidRPr="00091205">
        <w:rPr>
          <w:rFonts w:ascii="Garamond" w:hAnsi="Garamond" w:cs="Traditional Arabic"/>
          <w:lang w:bidi="ar-EG"/>
        </w:rPr>
        <w:t xml:space="preserve"> in Indonesia was first coined by lecturers at the State Islamic University of </w:t>
      </w:r>
      <w:proofErr w:type="spellStart"/>
      <w:r w:rsidRPr="00091205">
        <w:rPr>
          <w:rFonts w:ascii="Garamond" w:hAnsi="Garamond" w:cs="Traditional Arabic"/>
          <w:lang w:bidi="ar-EG"/>
        </w:rPr>
        <w:t>Sunan</w:t>
      </w:r>
      <w:proofErr w:type="spellEnd"/>
      <w:r w:rsidRPr="00091205">
        <w:rPr>
          <w:rFonts w:ascii="Garamond" w:hAnsi="Garamond" w:cs="Traditional Arabic"/>
          <w:lang w:bidi="ar-EG"/>
        </w:rPr>
        <w:t xml:space="preserve"> </w:t>
      </w:r>
      <w:proofErr w:type="spellStart"/>
      <w:r w:rsidRPr="00091205">
        <w:rPr>
          <w:rFonts w:ascii="Garamond" w:hAnsi="Garamond" w:cs="Traditional Arabic"/>
          <w:lang w:bidi="ar-EG"/>
        </w:rPr>
        <w:t>Kalijaga</w:t>
      </w:r>
      <w:proofErr w:type="spellEnd"/>
      <w:r w:rsidRPr="00091205">
        <w:rPr>
          <w:rFonts w:ascii="Garamond" w:hAnsi="Garamond" w:cs="Traditional Arabic"/>
          <w:lang w:bidi="ar-EG"/>
        </w:rPr>
        <w:t xml:space="preserve"> in Yogyakarta, particularly among lecturers in the Department of </w:t>
      </w:r>
      <w:proofErr w:type="spellStart"/>
      <w:r w:rsidRPr="00091205">
        <w:rPr>
          <w:rFonts w:ascii="Garamond" w:hAnsi="Garamond" w:cs="Traditional Arabic"/>
          <w:lang w:bidi="ar-EG"/>
        </w:rPr>
        <w:t>Tafsir</w:t>
      </w:r>
      <w:proofErr w:type="spellEnd"/>
      <w:r w:rsidRPr="00091205">
        <w:rPr>
          <w:rFonts w:ascii="Garamond" w:hAnsi="Garamond" w:cs="Traditional Arabic"/>
          <w:lang w:bidi="ar-EG"/>
        </w:rPr>
        <w:t xml:space="preserve"> and Hadith (now the Department of </w:t>
      </w:r>
      <w:proofErr w:type="spellStart"/>
      <w:r w:rsidRPr="00091205">
        <w:rPr>
          <w:rFonts w:ascii="Garamond" w:hAnsi="Garamond" w:cs="Traditional Arabic"/>
          <w:lang w:bidi="ar-EG"/>
        </w:rPr>
        <w:t>Quranic</w:t>
      </w:r>
      <w:proofErr w:type="spellEnd"/>
      <w:r w:rsidRPr="00091205">
        <w:rPr>
          <w:rFonts w:ascii="Garamond" w:hAnsi="Garamond" w:cs="Traditional Arabic"/>
          <w:lang w:bidi="ar-EG"/>
        </w:rPr>
        <w:t xml:space="preserve"> Studies and </w:t>
      </w:r>
      <w:proofErr w:type="spellStart"/>
      <w:r w:rsidRPr="00091205">
        <w:rPr>
          <w:rFonts w:ascii="Garamond" w:hAnsi="Garamond" w:cs="Traditional Arabic"/>
          <w:lang w:bidi="ar-EG"/>
        </w:rPr>
        <w:t>Tafsir</w:t>
      </w:r>
      <w:proofErr w:type="spellEnd"/>
      <w:r w:rsidRPr="00091205">
        <w:rPr>
          <w:rFonts w:ascii="Garamond" w:hAnsi="Garamond" w:cs="Traditional Arabic"/>
          <w:lang w:bidi="ar-EG"/>
        </w:rPr>
        <w:t xml:space="preserve"> and the Department of Hadith Sciences are two independent departments</w:t>
      </w:r>
      <w:r w:rsidR="00091205" w:rsidRPr="00091205">
        <w:rPr>
          <w:rFonts w:ascii="Garamond" w:hAnsi="Garamond" w:cs="Traditional Arabic"/>
          <w:lang w:bidi="ar-EG"/>
        </w:rPr>
        <w:t>.</w:t>
      </w:r>
      <w:r w:rsidR="00FB14E1" w:rsidRPr="00091205">
        <w:rPr>
          <w:rStyle w:val="FootnoteReference"/>
          <w:rFonts w:ascii="Garamond" w:hAnsi="Garamond"/>
          <w:rtl/>
        </w:rPr>
        <w:footnoteReference w:id="12"/>
      </w:r>
      <w:r w:rsidR="00091205">
        <w:rPr>
          <w:rFonts w:ascii="Garamond" w:hAnsi="Garamond" w:cs="Traditional Arabic"/>
          <w:sz w:val="36"/>
          <w:szCs w:val="36"/>
          <w:lang w:bidi="ar-EG"/>
        </w:rPr>
        <w:t xml:space="preserve"> </w:t>
      </w:r>
      <w:r w:rsidRPr="00091205">
        <w:rPr>
          <w:rFonts w:ascii="Garamond" w:hAnsi="Garamond" w:cs="Traditional Arabic"/>
          <w:lang w:bidi="ar-EG"/>
        </w:rPr>
        <w:t>However, this term is actually not new, but was already known earlier. In 1993, for example, there was an article written by Barbara D. Metcalf entitled “</w:t>
      </w:r>
      <w:r w:rsidRPr="00091205">
        <w:rPr>
          <w:rFonts w:ascii="Garamond" w:hAnsi="Garamond" w:cs="Traditional Arabic"/>
          <w:i/>
          <w:iCs/>
          <w:lang w:bidi="ar-EG"/>
        </w:rPr>
        <w:t xml:space="preserve">Living </w:t>
      </w:r>
      <w:proofErr w:type="spellStart"/>
      <w:r w:rsidRPr="00091205">
        <w:rPr>
          <w:rFonts w:ascii="Garamond" w:hAnsi="Garamond" w:cs="Traditional Arabic"/>
          <w:i/>
          <w:iCs/>
          <w:lang w:bidi="ar-EG"/>
        </w:rPr>
        <w:t>Had</w:t>
      </w:r>
      <w:r w:rsidRPr="00091205">
        <w:rPr>
          <w:rFonts w:ascii="Garamond" w:hAnsi="Garamond" w:cs="Times New Roman"/>
          <w:i/>
          <w:iCs/>
          <w:lang w:bidi="ar-EG"/>
        </w:rPr>
        <w:t>ī</w:t>
      </w:r>
      <w:r w:rsidRPr="00091205">
        <w:rPr>
          <w:rFonts w:ascii="Garamond" w:hAnsi="Garamond" w:cs="Traditional Arabic"/>
          <w:i/>
          <w:iCs/>
          <w:lang w:bidi="ar-EG"/>
        </w:rPr>
        <w:t>th</w:t>
      </w:r>
      <w:proofErr w:type="spellEnd"/>
      <w:r w:rsidRPr="00091205">
        <w:rPr>
          <w:rFonts w:ascii="Garamond" w:hAnsi="Garamond" w:cs="Traditional Arabic"/>
          <w:i/>
          <w:iCs/>
          <w:lang w:bidi="ar-EG"/>
        </w:rPr>
        <w:t xml:space="preserve"> in the </w:t>
      </w:r>
      <w:proofErr w:type="spellStart"/>
      <w:r w:rsidRPr="00091205">
        <w:rPr>
          <w:rFonts w:ascii="Garamond" w:hAnsi="Garamond" w:cs="Traditional Arabic"/>
          <w:i/>
          <w:iCs/>
          <w:lang w:bidi="ar-EG"/>
        </w:rPr>
        <w:t>Tabl</w:t>
      </w:r>
      <w:r w:rsidRPr="00091205">
        <w:rPr>
          <w:rFonts w:ascii="Garamond" w:hAnsi="Garamond" w:cs="Times New Roman"/>
          <w:i/>
          <w:iCs/>
          <w:lang w:bidi="ar-EG"/>
        </w:rPr>
        <w:t>ī</w:t>
      </w:r>
      <w:r w:rsidRPr="00091205">
        <w:rPr>
          <w:rFonts w:ascii="Garamond" w:hAnsi="Garamond" w:cs="Traditional Arabic"/>
          <w:i/>
          <w:iCs/>
          <w:lang w:bidi="ar-EG"/>
        </w:rPr>
        <w:t>gh</w:t>
      </w:r>
      <w:r w:rsidRPr="00091205">
        <w:rPr>
          <w:rFonts w:ascii="Garamond" w:hAnsi="Garamond" w:cs="Times New Roman"/>
          <w:i/>
          <w:iCs/>
          <w:lang w:bidi="ar-EG"/>
        </w:rPr>
        <w:t>ī</w:t>
      </w:r>
      <w:proofErr w:type="spellEnd"/>
      <w:r w:rsidRPr="00091205">
        <w:rPr>
          <w:rFonts w:ascii="Garamond" w:hAnsi="Garamond" w:cs="Traditional Arabic"/>
          <w:i/>
          <w:iCs/>
          <w:lang w:bidi="ar-EG"/>
        </w:rPr>
        <w:t xml:space="preserve"> </w:t>
      </w:r>
      <w:proofErr w:type="spellStart"/>
      <w:r w:rsidRPr="00091205">
        <w:rPr>
          <w:rFonts w:ascii="Garamond" w:hAnsi="Garamond" w:cs="Traditional Arabic"/>
          <w:i/>
          <w:iCs/>
          <w:lang w:bidi="ar-EG"/>
        </w:rPr>
        <w:t>Jama`</w:t>
      </w:r>
      <w:r w:rsidRPr="00091205">
        <w:rPr>
          <w:rFonts w:ascii="Garamond" w:hAnsi="Garamond" w:cs="Times New Roman"/>
          <w:i/>
          <w:iCs/>
          <w:lang w:bidi="ar-EG"/>
        </w:rPr>
        <w:t>ā</w:t>
      </w:r>
      <w:r w:rsidRPr="00091205">
        <w:rPr>
          <w:rFonts w:ascii="Garamond" w:hAnsi="Garamond" w:cs="Traditional Arabic"/>
          <w:i/>
          <w:iCs/>
          <w:lang w:bidi="ar-EG"/>
        </w:rPr>
        <w:t>t</w:t>
      </w:r>
      <w:proofErr w:type="spellEnd"/>
      <w:r w:rsidR="00091205">
        <w:rPr>
          <w:rFonts w:ascii="Garamond" w:hAnsi="Garamond" w:cs="Traditional Arabic"/>
          <w:lang w:bidi="ar-EG"/>
        </w:rPr>
        <w:t>”.</w:t>
      </w:r>
      <w:r w:rsidR="00FB14E1" w:rsidRPr="00091205">
        <w:rPr>
          <w:rStyle w:val="FootnoteReference"/>
          <w:rFonts w:ascii="Garamond" w:hAnsi="Garamond"/>
          <w:rtl/>
        </w:rPr>
        <w:footnoteReference w:id="13"/>
      </w:r>
      <w:r w:rsidR="00091205">
        <w:rPr>
          <w:rFonts w:ascii="Garamond" w:hAnsi="Garamond" w:cs="Traditional Arabic"/>
          <w:lang w:bidi="ar-EG"/>
        </w:rPr>
        <w:t xml:space="preserve"> </w:t>
      </w:r>
      <w:r w:rsidR="00BD01F3" w:rsidRPr="00091205">
        <w:rPr>
          <w:rFonts w:ascii="Garamond" w:hAnsi="Garamond" w:cs="Traditional Arabic"/>
          <w:lang w:bidi="ar-EG"/>
        </w:rPr>
        <w:t xml:space="preserve">But if the researchers examine this term, it becomes apparent that </w:t>
      </w:r>
      <w:proofErr w:type="spellStart"/>
      <w:r w:rsidR="00BD01F3" w:rsidRPr="00091205">
        <w:rPr>
          <w:rFonts w:ascii="Garamond" w:hAnsi="Garamond" w:cs="Traditional Arabic"/>
          <w:lang w:bidi="ar-EG"/>
        </w:rPr>
        <w:t>Fadl</w:t>
      </w:r>
      <w:proofErr w:type="spellEnd"/>
      <w:r w:rsidR="00BD01F3" w:rsidRPr="00091205">
        <w:rPr>
          <w:rFonts w:ascii="Garamond" w:hAnsi="Garamond" w:cs="Traditional Arabic"/>
          <w:lang w:bidi="ar-EG"/>
        </w:rPr>
        <w:t xml:space="preserve"> al-</w:t>
      </w:r>
      <w:proofErr w:type="spellStart"/>
      <w:r w:rsidR="00BD01F3" w:rsidRPr="00091205">
        <w:rPr>
          <w:rFonts w:ascii="Garamond" w:hAnsi="Garamond" w:cs="Traditional Arabic"/>
          <w:lang w:bidi="ar-EG"/>
        </w:rPr>
        <w:t>Rahman</w:t>
      </w:r>
      <w:proofErr w:type="spellEnd"/>
      <w:r w:rsidR="00BD01F3" w:rsidRPr="00091205">
        <w:rPr>
          <w:rFonts w:ascii="Garamond" w:hAnsi="Garamond" w:cs="Traditional Arabic"/>
          <w:lang w:bidi="ar-EG"/>
        </w:rPr>
        <w:t xml:space="preserve"> has used it in several of his articles, such as “</w:t>
      </w:r>
      <w:proofErr w:type="spellStart"/>
      <w:r w:rsidR="00BD01F3" w:rsidRPr="00091205">
        <w:rPr>
          <w:rFonts w:ascii="Garamond" w:hAnsi="Garamond" w:cs="Traditional Arabic"/>
          <w:i/>
          <w:iCs/>
          <w:lang w:bidi="ar-EG"/>
        </w:rPr>
        <w:t>Sunnah</w:t>
      </w:r>
      <w:proofErr w:type="spellEnd"/>
      <w:r w:rsidR="00BD01F3" w:rsidRPr="00091205">
        <w:rPr>
          <w:rFonts w:ascii="Garamond" w:hAnsi="Garamond" w:cs="Traditional Arabic"/>
          <w:i/>
          <w:iCs/>
          <w:lang w:bidi="ar-EG"/>
        </w:rPr>
        <w:t xml:space="preserve"> and </w:t>
      </w:r>
      <w:proofErr w:type="spellStart"/>
      <w:r w:rsidR="00BD01F3" w:rsidRPr="00091205">
        <w:rPr>
          <w:rFonts w:ascii="Times New Roman" w:hAnsi="Times New Roman" w:cs="Times New Roman"/>
          <w:i/>
          <w:iCs/>
          <w:lang w:bidi="ar-EG"/>
        </w:rPr>
        <w:t>Ḥ</w:t>
      </w:r>
      <w:r w:rsidR="00BD01F3" w:rsidRPr="00091205">
        <w:rPr>
          <w:rFonts w:ascii="Garamond" w:hAnsi="Garamond" w:cs="Traditional Arabic"/>
          <w:i/>
          <w:iCs/>
          <w:lang w:bidi="ar-EG"/>
        </w:rPr>
        <w:t>adith</w:t>
      </w:r>
      <w:proofErr w:type="spellEnd"/>
      <w:r w:rsidR="00BD01F3" w:rsidRPr="00091205">
        <w:rPr>
          <w:rFonts w:ascii="Garamond" w:hAnsi="Garamond" w:cs="Traditional Arabic"/>
          <w:lang w:bidi="ar-EG"/>
        </w:rPr>
        <w:t>”</w:t>
      </w:r>
      <w:r w:rsidR="00091205">
        <w:rPr>
          <w:rFonts w:ascii="Garamond" w:hAnsi="Garamond" w:cs="Traditional Arabic"/>
          <w:lang w:bidi="ar-EG"/>
        </w:rPr>
        <w:t>,</w:t>
      </w:r>
      <w:r w:rsidR="00BD01F3" w:rsidRPr="00091205">
        <w:rPr>
          <w:rFonts w:ascii="Garamond" w:hAnsi="Garamond" w:cs="Traditional Arabic"/>
          <w:lang w:bidi="ar-EG"/>
        </w:rPr>
        <w:t xml:space="preserve"> in which he mentions the term “the Living </w:t>
      </w:r>
      <w:proofErr w:type="spellStart"/>
      <w:r w:rsidR="00BD01F3" w:rsidRPr="00091205">
        <w:rPr>
          <w:rFonts w:ascii="Garamond" w:hAnsi="Garamond" w:cs="Traditional Arabic"/>
          <w:lang w:bidi="ar-EG"/>
        </w:rPr>
        <w:t>Sunnah</w:t>
      </w:r>
      <w:proofErr w:type="spellEnd"/>
      <w:r w:rsidR="00091205">
        <w:rPr>
          <w:rFonts w:ascii="Garamond" w:hAnsi="Garamond" w:cs="Traditional Arabic"/>
          <w:lang w:bidi="ar-EG"/>
        </w:rPr>
        <w:t>”.</w:t>
      </w:r>
      <w:r w:rsidR="00FB14E1" w:rsidRPr="00091205">
        <w:rPr>
          <w:rStyle w:val="FootnoteReference"/>
          <w:rFonts w:ascii="Garamond" w:hAnsi="Garamond"/>
          <w:rtl/>
        </w:rPr>
        <w:footnoteReference w:id="14"/>
      </w:r>
      <w:r w:rsidR="00BD01F3" w:rsidRPr="00091205">
        <w:rPr>
          <w:rFonts w:ascii="Garamond" w:hAnsi="Garamond" w:cs="Traditional Arabic"/>
          <w:lang w:bidi="ar-EG"/>
        </w:rPr>
        <w:t xml:space="preserve">In fact, this term is influenced by the ideas of Orientalists such as </w:t>
      </w:r>
      <w:proofErr w:type="spellStart"/>
      <w:r w:rsidR="00BD01F3" w:rsidRPr="00091205">
        <w:rPr>
          <w:rFonts w:ascii="Garamond" w:hAnsi="Garamond" w:cs="Traditional Arabic"/>
          <w:lang w:bidi="ar-EG"/>
        </w:rPr>
        <w:t>Margoliouth</w:t>
      </w:r>
      <w:proofErr w:type="spellEnd"/>
      <w:r w:rsidR="00BD01F3" w:rsidRPr="00091205">
        <w:rPr>
          <w:rFonts w:ascii="Garamond" w:hAnsi="Garamond" w:cs="Traditional Arabic"/>
          <w:lang w:bidi="ar-EG"/>
        </w:rPr>
        <w:t xml:space="preserve"> and Joseph Schacht. Schacht, for example, mentions in his book The Origins of </w:t>
      </w:r>
      <w:proofErr w:type="spellStart"/>
      <w:r w:rsidR="00BD01F3" w:rsidRPr="00091205">
        <w:rPr>
          <w:rFonts w:ascii="Garamond" w:hAnsi="Garamond" w:cs="Traditional Arabic"/>
          <w:lang w:bidi="ar-EG"/>
        </w:rPr>
        <w:t>Muhammadan</w:t>
      </w:r>
      <w:proofErr w:type="spellEnd"/>
      <w:r w:rsidR="00BD01F3" w:rsidRPr="00091205">
        <w:rPr>
          <w:rFonts w:ascii="Garamond" w:hAnsi="Garamond" w:cs="Traditional Arabic"/>
          <w:lang w:bidi="ar-EG"/>
        </w:rPr>
        <w:t xml:space="preserve"> Jurisprudence: the traditional idea of the </w:t>
      </w:r>
      <w:proofErr w:type="spellStart"/>
      <w:r w:rsidR="00BD01F3" w:rsidRPr="00091205">
        <w:rPr>
          <w:rFonts w:ascii="Garamond" w:hAnsi="Garamond" w:cs="Traditional Arabic"/>
          <w:lang w:bidi="ar-EG"/>
        </w:rPr>
        <w:t>Sunnah</w:t>
      </w:r>
      <w:proofErr w:type="spellEnd"/>
      <w:r w:rsidR="00BD01F3" w:rsidRPr="00091205">
        <w:rPr>
          <w:rFonts w:ascii="Garamond" w:hAnsi="Garamond" w:cs="Traditional Arabic"/>
          <w:lang w:bidi="ar-EG"/>
        </w:rPr>
        <w:t>, “practice,” and the common opinion of recognized scholars, which together constitute the “living tradition” of the doctrine</w:t>
      </w:r>
      <w:r w:rsidR="00091205">
        <w:rPr>
          <w:rFonts w:ascii="Garamond" w:hAnsi="Garamond" w:cs="Traditional Arabic"/>
          <w:lang w:bidi="ar-EG"/>
        </w:rPr>
        <w:t>.</w:t>
      </w:r>
      <w:r w:rsidR="00FB14E1" w:rsidRPr="00091205">
        <w:rPr>
          <w:rStyle w:val="FootnoteReference"/>
          <w:rFonts w:ascii="Garamond" w:hAnsi="Garamond"/>
          <w:rtl/>
        </w:rPr>
        <w:footnoteReference w:id="15"/>
      </w:r>
    </w:p>
    <w:p w:rsidR="00FB14E1" w:rsidRPr="00E5791D" w:rsidRDefault="00091205" w:rsidP="008C0625">
      <w:pPr>
        <w:ind w:firstLine="720"/>
        <w:jc w:val="both"/>
        <w:rPr>
          <w:rFonts w:ascii="Garamond" w:hAnsi="Garamond" w:cs="Traditional Arabic"/>
          <w:rtl/>
          <w:lang w:bidi="ar-EG"/>
        </w:rPr>
      </w:pPr>
      <w:r w:rsidRPr="00E5791D">
        <w:rPr>
          <w:rFonts w:ascii="Garamond" w:hAnsi="Garamond" w:cs="Traditional Arabic"/>
          <w:lang w:bidi="ar-EG"/>
        </w:rPr>
        <w:t xml:space="preserve">Therefore, the study of “Living Hadith” is understood as an approach to established practices that originate in the traditional community (which could be in the form of culture, rituals, </w:t>
      </w:r>
      <w:proofErr w:type="spellStart"/>
      <w:r w:rsidRPr="00E5791D">
        <w:rPr>
          <w:rFonts w:ascii="Garamond" w:hAnsi="Garamond" w:cs="Traditional Arabic"/>
          <w:lang w:bidi="ar-EG"/>
        </w:rPr>
        <w:t>etc</w:t>
      </w:r>
      <w:proofErr w:type="spellEnd"/>
      <w:r w:rsidR="000B2D69">
        <w:rPr>
          <w:rFonts w:ascii="Garamond" w:hAnsi="Garamond" w:cs="Traditional Arabic"/>
          <w:lang w:bidi="ar-EG"/>
        </w:rPr>
        <w:t>)</w:t>
      </w:r>
      <w:r w:rsidR="00A11A93">
        <w:rPr>
          <w:rFonts w:ascii="Garamond" w:hAnsi="Garamond" w:cs="Traditional Arabic"/>
          <w:lang w:bidi="ar-EG"/>
        </w:rPr>
        <w:t>.</w:t>
      </w:r>
      <w:r w:rsidR="00FB14E1" w:rsidRPr="00E5791D">
        <w:rPr>
          <w:rStyle w:val="FootnoteReference"/>
          <w:rFonts w:ascii="Garamond" w:hAnsi="Garamond"/>
          <w:rtl/>
        </w:rPr>
        <w:footnoteReference w:id="16"/>
      </w:r>
      <w:r w:rsidR="00A11A93">
        <w:rPr>
          <w:rFonts w:ascii="Garamond" w:hAnsi="Garamond" w:cs="Traditional Arabic"/>
          <w:lang w:bidi="ar-EG"/>
        </w:rPr>
        <w:t xml:space="preserve"> </w:t>
      </w:r>
      <w:r w:rsidR="00E5791D" w:rsidRPr="00E5791D">
        <w:rPr>
          <w:rFonts w:ascii="Garamond" w:hAnsi="Garamond" w:cs="Traditional Arabic"/>
          <w:lang w:bidi="ar-EG"/>
        </w:rPr>
        <w:t>Furthermore, the starting point in the study of “Living Hadith” is from the practices existing in society to the text</w:t>
      </w:r>
      <w:r w:rsidR="000B2D69">
        <w:rPr>
          <w:rFonts w:ascii="Garamond" w:hAnsi="Garamond" w:cs="Traditional Arabic"/>
          <w:lang w:bidi="ar-EG"/>
        </w:rPr>
        <w:t xml:space="preserve"> (</w:t>
      </w:r>
      <w:r w:rsidR="000B2D69" w:rsidRPr="000B2D69">
        <w:rPr>
          <w:rFonts w:ascii="Garamond" w:hAnsi="Garamond" w:cs="Traditional Arabic"/>
          <w:i/>
          <w:iCs/>
          <w:lang w:bidi="ar-EG"/>
        </w:rPr>
        <w:t>al-</w:t>
      </w:r>
      <w:proofErr w:type="spellStart"/>
      <w:r w:rsidR="000B2D69" w:rsidRPr="000B2D69">
        <w:rPr>
          <w:rFonts w:ascii="Garamond" w:hAnsi="Garamond" w:cs="Traditional Arabic"/>
          <w:i/>
          <w:iCs/>
          <w:lang w:bidi="ar-EG"/>
        </w:rPr>
        <w:t>Mumārasāt</w:t>
      </w:r>
      <w:proofErr w:type="spellEnd"/>
      <w:r w:rsidR="000B2D69" w:rsidRPr="000B2D69">
        <w:rPr>
          <w:rFonts w:ascii="Garamond" w:hAnsi="Garamond" w:cs="Traditional Arabic"/>
          <w:i/>
          <w:iCs/>
          <w:lang w:bidi="ar-EG"/>
        </w:rPr>
        <w:t xml:space="preserve"> al-</w:t>
      </w:r>
      <w:proofErr w:type="spellStart"/>
      <w:r w:rsidR="000B2D69" w:rsidRPr="000B2D69">
        <w:rPr>
          <w:rFonts w:ascii="Garamond" w:hAnsi="Garamond" w:cs="Traditional Arabic"/>
          <w:i/>
          <w:iCs/>
          <w:lang w:bidi="ar-EG"/>
        </w:rPr>
        <w:t>maujūdah</w:t>
      </w:r>
      <w:proofErr w:type="spellEnd"/>
      <w:r w:rsidR="000B2D69" w:rsidRPr="000B2D69">
        <w:rPr>
          <w:rFonts w:ascii="Garamond" w:hAnsi="Garamond" w:cs="Traditional Arabic"/>
          <w:i/>
          <w:iCs/>
          <w:lang w:bidi="ar-EG"/>
        </w:rPr>
        <w:t xml:space="preserve"> fi al-</w:t>
      </w:r>
      <w:proofErr w:type="spellStart"/>
      <w:r w:rsidR="000B2D69" w:rsidRPr="000B2D69">
        <w:rPr>
          <w:rFonts w:ascii="Garamond" w:hAnsi="Garamond" w:cs="Traditional Arabic"/>
          <w:i/>
          <w:iCs/>
          <w:lang w:bidi="ar-EG"/>
        </w:rPr>
        <w:t>Mujtama</w:t>
      </w:r>
      <w:proofErr w:type="spellEnd"/>
      <w:r w:rsidR="000B2D69" w:rsidRPr="000B2D69">
        <w:rPr>
          <w:rFonts w:ascii="Garamond" w:hAnsi="Garamond" w:cs="Traditional Arabic"/>
          <w:i/>
          <w:iCs/>
          <w:lang w:bidi="ar-EG"/>
        </w:rPr>
        <w:t xml:space="preserve">’ </w:t>
      </w:r>
      <w:proofErr w:type="spellStart"/>
      <w:proofErr w:type="gramStart"/>
      <w:r w:rsidR="000B2D69" w:rsidRPr="000B2D69">
        <w:rPr>
          <w:rFonts w:ascii="Garamond" w:hAnsi="Garamond" w:cs="Traditional Arabic"/>
          <w:i/>
          <w:iCs/>
          <w:lang w:bidi="ar-EG"/>
        </w:rPr>
        <w:t>ila</w:t>
      </w:r>
      <w:proofErr w:type="spellEnd"/>
      <w:proofErr w:type="gramEnd"/>
      <w:r w:rsidR="000B2D69" w:rsidRPr="000B2D69">
        <w:rPr>
          <w:rFonts w:ascii="Garamond" w:hAnsi="Garamond" w:cs="Traditional Arabic"/>
          <w:i/>
          <w:iCs/>
          <w:lang w:bidi="ar-EG"/>
        </w:rPr>
        <w:t xml:space="preserve"> an-Nash</w:t>
      </w:r>
      <w:r w:rsidR="000B2D69">
        <w:rPr>
          <w:rFonts w:ascii="Garamond" w:hAnsi="Garamond" w:cs="Traditional Arabic"/>
          <w:lang w:bidi="ar-EG"/>
        </w:rPr>
        <w:t>)</w:t>
      </w:r>
      <w:r w:rsidR="00E5791D" w:rsidRPr="00E5791D">
        <w:rPr>
          <w:rFonts w:ascii="Garamond" w:hAnsi="Garamond" w:cs="Traditional Arabic"/>
          <w:lang w:bidi="ar-EG"/>
        </w:rPr>
        <w:t>, the Qur'an and Hadith, not from the text to the application or practice in society. Based on this, the term “Living Hadith,” if translated into Arabic by supporters of this approach, would be “</w:t>
      </w:r>
      <w:r w:rsidR="00D94267">
        <w:rPr>
          <w:rFonts w:ascii="Garamond" w:hAnsi="Garamond" w:cs="Traditional Arabic"/>
          <w:lang w:bidi="ar-EG"/>
        </w:rPr>
        <w:t>(</w:t>
      </w:r>
      <w:r w:rsidR="00D94267" w:rsidRPr="000B2D69">
        <w:rPr>
          <w:rFonts w:ascii="Garamond" w:hAnsi="Garamond" w:cs="Traditional Arabic"/>
          <w:i/>
          <w:iCs/>
          <w:lang w:bidi="ar-EG"/>
        </w:rPr>
        <w:t>al-</w:t>
      </w:r>
      <w:proofErr w:type="spellStart"/>
      <w:r w:rsidR="00D94267" w:rsidRPr="000B2D69">
        <w:rPr>
          <w:rFonts w:ascii="Garamond" w:hAnsi="Garamond" w:cs="Traditional Arabic"/>
          <w:i/>
          <w:iCs/>
          <w:lang w:bidi="ar-EG"/>
        </w:rPr>
        <w:t>Hadits</w:t>
      </w:r>
      <w:proofErr w:type="spellEnd"/>
      <w:r w:rsidR="00D94267" w:rsidRPr="000B2D69">
        <w:rPr>
          <w:rFonts w:ascii="Garamond" w:hAnsi="Garamond" w:cs="Traditional Arabic"/>
          <w:i/>
          <w:iCs/>
          <w:lang w:bidi="ar-EG"/>
        </w:rPr>
        <w:t xml:space="preserve"> al-Hay fi al-</w:t>
      </w:r>
      <w:proofErr w:type="spellStart"/>
      <w:r w:rsidR="00D94267" w:rsidRPr="000B2D69">
        <w:rPr>
          <w:rFonts w:ascii="Garamond" w:hAnsi="Garamond" w:cs="Traditional Arabic"/>
          <w:i/>
          <w:iCs/>
          <w:lang w:bidi="ar-EG"/>
        </w:rPr>
        <w:t>Mujtama</w:t>
      </w:r>
      <w:proofErr w:type="spellEnd"/>
      <w:r w:rsidR="00D94267" w:rsidRPr="000B2D69">
        <w:rPr>
          <w:rFonts w:ascii="Garamond" w:hAnsi="Garamond" w:cs="Traditional Arabic"/>
          <w:i/>
          <w:iCs/>
          <w:lang w:bidi="ar-EG"/>
        </w:rPr>
        <w:t>’</w:t>
      </w:r>
      <w:r w:rsidR="00D94267" w:rsidRPr="00E5791D">
        <w:rPr>
          <w:rFonts w:ascii="Garamond" w:hAnsi="Garamond" w:cs="Traditional Arabic"/>
          <w:lang w:bidi="ar-EG"/>
        </w:rPr>
        <w:t>”</w:t>
      </w:r>
      <w:r w:rsidR="00D94267">
        <w:rPr>
          <w:rFonts w:ascii="Garamond" w:hAnsi="Garamond" w:cs="Traditional Arabic"/>
          <w:lang w:bidi="ar-EG"/>
        </w:rPr>
        <w:t xml:space="preserve">) </w:t>
      </w:r>
      <w:r w:rsidR="00E5791D" w:rsidRPr="00E5791D">
        <w:rPr>
          <w:rFonts w:ascii="Garamond" w:hAnsi="Garamond" w:cs="Traditional Arabic"/>
          <w:lang w:bidi="ar-EG"/>
        </w:rPr>
        <w:t>the living hadith in society” or “</w:t>
      </w:r>
      <w:r w:rsidR="00D94267">
        <w:rPr>
          <w:rFonts w:ascii="Garamond" w:hAnsi="Garamond" w:cs="Traditional Arabic"/>
          <w:lang w:bidi="ar-EG"/>
        </w:rPr>
        <w:t>(</w:t>
      </w:r>
      <w:proofErr w:type="spellStart"/>
      <w:r w:rsidR="00D94267" w:rsidRPr="000B2D69">
        <w:rPr>
          <w:rFonts w:ascii="Garamond" w:hAnsi="Garamond" w:cs="Traditional Arabic"/>
          <w:i/>
          <w:iCs/>
          <w:lang w:bidi="ar-EG"/>
        </w:rPr>
        <w:t>Ihya</w:t>
      </w:r>
      <w:proofErr w:type="spellEnd"/>
      <w:r w:rsidR="00D94267" w:rsidRPr="000B2D69">
        <w:rPr>
          <w:rFonts w:ascii="Garamond" w:hAnsi="Garamond" w:cs="Traditional Arabic"/>
          <w:i/>
          <w:iCs/>
          <w:lang w:bidi="ar-EG"/>
        </w:rPr>
        <w:t xml:space="preserve"> al-</w:t>
      </w:r>
      <w:proofErr w:type="spellStart"/>
      <w:r w:rsidR="00D94267" w:rsidRPr="000B2D69">
        <w:rPr>
          <w:rFonts w:ascii="Garamond" w:hAnsi="Garamond" w:cs="Traditional Arabic"/>
          <w:i/>
          <w:iCs/>
          <w:lang w:bidi="ar-EG"/>
        </w:rPr>
        <w:t>Hadits</w:t>
      </w:r>
      <w:proofErr w:type="spellEnd"/>
      <w:r w:rsidR="00D94267" w:rsidRPr="000B2D69">
        <w:rPr>
          <w:rFonts w:ascii="Garamond" w:hAnsi="Garamond" w:cs="Traditional Arabic"/>
          <w:i/>
          <w:iCs/>
          <w:lang w:bidi="ar-EG"/>
        </w:rPr>
        <w:t xml:space="preserve"> fi al-</w:t>
      </w:r>
      <w:proofErr w:type="spellStart"/>
      <w:r w:rsidR="00D94267" w:rsidRPr="000B2D69">
        <w:rPr>
          <w:rFonts w:ascii="Garamond" w:hAnsi="Garamond" w:cs="Traditional Arabic"/>
          <w:i/>
          <w:iCs/>
          <w:lang w:bidi="ar-EG"/>
        </w:rPr>
        <w:t>Mujtama</w:t>
      </w:r>
      <w:proofErr w:type="spellEnd"/>
      <w:r w:rsidR="00D94267" w:rsidRPr="000B2D69">
        <w:rPr>
          <w:rFonts w:ascii="Garamond" w:hAnsi="Garamond" w:cs="Traditional Arabic"/>
          <w:i/>
          <w:iCs/>
          <w:lang w:bidi="ar-EG"/>
        </w:rPr>
        <w:t>’</w:t>
      </w:r>
      <w:r w:rsidR="00D94267" w:rsidRPr="00D94267">
        <w:rPr>
          <w:rFonts w:ascii="Garamond" w:hAnsi="Garamond" w:cs="Traditional Arabic"/>
          <w:lang w:bidi="ar-EG"/>
        </w:rPr>
        <w:t>)</w:t>
      </w:r>
      <w:r w:rsidR="00D94267">
        <w:rPr>
          <w:rFonts w:ascii="Garamond" w:hAnsi="Garamond" w:cs="Traditional Arabic"/>
          <w:lang w:bidi="ar-EG"/>
        </w:rPr>
        <w:t xml:space="preserve"> </w:t>
      </w:r>
      <w:r w:rsidR="00E5791D" w:rsidRPr="00E5791D">
        <w:rPr>
          <w:rFonts w:ascii="Garamond" w:hAnsi="Garamond" w:cs="Traditional Arabic"/>
          <w:lang w:bidi="ar-EG"/>
        </w:rPr>
        <w:t>reviving the hadith in society</w:t>
      </w:r>
      <w:r w:rsidR="00D94267">
        <w:rPr>
          <w:rFonts w:ascii="Garamond" w:hAnsi="Garamond" w:cs="Traditional Arabic"/>
          <w:lang w:bidi="ar-EG"/>
        </w:rPr>
        <w:t>”</w:t>
      </w:r>
      <w:r w:rsidR="00A11A93">
        <w:rPr>
          <w:rFonts w:ascii="Garamond" w:hAnsi="Garamond" w:cs="Traditional Arabic"/>
          <w:lang w:bidi="ar-EG"/>
        </w:rPr>
        <w:t>.</w:t>
      </w:r>
      <w:r w:rsidR="00FB14E1" w:rsidRPr="00E5791D">
        <w:rPr>
          <w:rStyle w:val="FootnoteReference"/>
          <w:rFonts w:ascii="Garamond" w:hAnsi="Garamond"/>
          <w:rtl/>
        </w:rPr>
        <w:footnoteReference w:id="17"/>
      </w:r>
      <w:r w:rsidR="00D94267">
        <w:rPr>
          <w:rFonts w:ascii="Garamond" w:hAnsi="Garamond" w:cs="Traditional Arabic"/>
        </w:rPr>
        <w:t xml:space="preserve"> </w:t>
      </w:r>
      <w:r w:rsidR="00C9560C" w:rsidRPr="00C9560C">
        <w:rPr>
          <w:rFonts w:ascii="Garamond" w:hAnsi="Garamond" w:cs="Traditional Arabic"/>
          <w:lang w:bidi="ar-EG"/>
        </w:rPr>
        <w:t xml:space="preserve">However, in this case, the </w:t>
      </w:r>
      <w:r w:rsidR="008C0625">
        <w:rPr>
          <w:rFonts w:ascii="Garamond" w:hAnsi="Garamond" w:cs="Traditional Arabic"/>
          <w:lang w:bidi="ar-EG"/>
        </w:rPr>
        <w:t>authors</w:t>
      </w:r>
      <w:r w:rsidR="00C9560C" w:rsidRPr="00C9560C">
        <w:rPr>
          <w:rFonts w:ascii="Garamond" w:hAnsi="Garamond" w:cs="Traditional Arabic"/>
          <w:lang w:bidi="ar-EG"/>
        </w:rPr>
        <w:t xml:space="preserve"> disagree with this translation, because the concept of “Living Hadith” is based on the community's common practice of the text, and therefore this word seems closer to “</w:t>
      </w:r>
      <w:r w:rsidR="008C0625" w:rsidRPr="008C0625">
        <w:rPr>
          <w:rFonts w:ascii="Garamond" w:hAnsi="Garamond" w:cs="Traditional Arabic"/>
          <w:lang w:bidi="ar-EG"/>
        </w:rPr>
        <w:t>Acceptable Behaviors in Society</w:t>
      </w:r>
      <w:r w:rsidR="00C9560C">
        <w:rPr>
          <w:rFonts w:ascii="Garamond" w:hAnsi="Garamond" w:cs="Traditional Arabic"/>
          <w:lang w:bidi="ar-EG"/>
        </w:rPr>
        <w:t xml:space="preserve"> (</w:t>
      </w:r>
      <w:r w:rsidR="00C9560C" w:rsidRPr="00C9560C">
        <w:rPr>
          <w:rFonts w:ascii="Garamond" w:hAnsi="Garamond" w:cs="Traditional Arabic"/>
          <w:i/>
          <w:iCs/>
          <w:lang w:bidi="ar-EG"/>
        </w:rPr>
        <w:t>al-</w:t>
      </w:r>
      <w:proofErr w:type="spellStart"/>
      <w:r w:rsidR="00C9560C" w:rsidRPr="00C9560C">
        <w:rPr>
          <w:rFonts w:ascii="Garamond" w:hAnsi="Garamond" w:cs="Traditional Arabic"/>
          <w:i/>
          <w:iCs/>
          <w:lang w:bidi="ar-EG"/>
        </w:rPr>
        <w:t>Af’āl</w:t>
      </w:r>
      <w:proofErr w:type="spellEnd"/>
      <w:r w:rsidR="00C9560C" w:rsidRPr="00C9560C">
        <w:rPr>
          <w:rFonts w:ascii="Garamond" w:hAnsi="Garamond" w:cs="Traditional Arabic"/>
          <w:i/>
          <w:iCs/>
          <w:lang w:bidi="ar-EG"/>
        </w:rPr>
        <w:t xml:space="preserve"> al-</w:t>
      </w:r>
      <w:proofErr w:type="spellStart"/>
      <w:r w:rsidR="00C9560C" w:rsidRPr="00C9560C">
        <w:rPr>
          <w:rFonts w:ascii="Garamond" w:hAnsi="Garamond" w:cs="Traditional Arabic"/>
          <w:i/>
          <w:iCs/>
          <w:lang w:bidi="ar-EG"/>
        </w:rPr>
        <w:t>Mu’tabar</w:t>
      </w:r>
      <w:r w:rsidR="00C9560C">
        <w:rPr>
          <w:rFonts w:ascii="Garamond" w:hAnsi="Garamond" w:cs="Traditional Arabic"/>
          <w:i/>
          <w:iCs/>
          <w:lang w:bidi="ar-EG"/>
        </w:rPr>
        <w:t>ah</w:t>
      </w:r>
      <w:proofErr w:type="spellEnd"/>
      <w:r w:rsidR="00C9560C" w:rsidRPr="00C9560C">
        <w:rPr>
          <w:rFonts w:ascii="Garamond" w:hAnsi="Garamond" w:cs="Traditional Arabic"/>
          <w:i/>
          <w:iCs/>
          <w:lang w:bidi="ar-EG"/>
        </w:rPr>
        <w:t xml:space="preserve"> fi al-</w:t>
      </w:r>
      <w:proofErr w:type="spellStart"/>
      <w:r w:rsidR="00C9560C" w:rsidRPr="00C9560C">
        <w:rPr>
          <w:rFonts w:ascii="Garamond" w:hAnsi="Garamond" w:cs="Traditional Arabic"/>
          <w:i/>
          <w:iCs/>
          <w:lang w:bidi="ar-EG"/>
        </w:rPr>
        <w:t>Mujtama</w:t>
      </w:r>
      <w:proofErr w:type="spellEnd"/>
      <w:r w:rsidR="00C9560C" w:rsidRPr="00C9560C">
        <w:rPr>
          <w:rFonts w:ascii="Garamond" w:hAnsi="Garamond" w:cs="Traditional Arabic"/>
          <w:i/>
          <w:iCs/>
          <w:lang w:bidi="ar-EG"/>
        </w:rPr>
        <w:t>’</w:t>
      </w:r>
      <w:r w:rsidR="00C9560C">
        <w:rPr>
          <w:rFonts w:ascii="Garamond" w:hAnsi="Garamond" w:cs="Traditional Arabic"/>
          <w:lang w:bidi="ar-EG"/>
        </w:rPr>
        <w:t>)</w:t>
      </w:r>
      <w:r w:rsidR="00C9560C" w:rsidRPr="00C9560C">
        <w:rPr>
          <w:rFonts w:ascii="Garamond" w:hAnsi="Garamond" w:cs="Traditional Arabic"/>
          <w:lang w:bidi="ar-EG"/>
        </w:rPr>
        <w:t>”</w:t>
      </w:r>
      <w:r w:rsidR="00C9560C">
        <w:rPr>
          <w:rFonts w:ascii="Garamond" w:hAnsi="Garamond" w:cs="Traditional Arabic"/>
          <w:lang w:bidi="ar-EG"/>
        </w:rPr>
        <w:t>.</w:t>
      </w:r>
      <w:r w:rsidR="00C9560C" w:rsidRPr="00C9560C">
        <w:rPr>
          <w:rFonts w:ascii="Garamond" w:hAnsi="Garamond" w:cs="Traditional Arabic"/>
          <w:lang w:bidi="ar-EG"/>
        </w:rPr>
        <w:t xml:space="preserve"> On this point, the researchers have followed the opinion of </w:t>
      </w:r>
      <w:proofErr w:type="spellStart"/>
      <w:r w:rsidR="00C9560C" w:rsidRPr="00C9560C">
        <w:rPr>
          <w:rFonts w:ascii="Garamond" w:hAnsi="Garamond" w:cs="Traditional Arabic"/>
          <w:lang w:bidi="ar-EG"/>
        </w:rPr>
        <w:t>Saifuddin</w:t>
      </w:r>
      <w:proofErr w:type="spellEnd"/>
      <w:r w:rsidR="00C9560C" w:rsidRPr="00C9560C">
        <w:rPr>
          <w:rFonts w:ascii="Garamond" w:hAnsi="Garamond" w:cs="Traditional Arabic"/>
          <w:lang w:bidi="ar-EG"/>
        </w:rPr>
        <w:t xml:space="preserve"> </w:t>
      </w:r>
      <w:proofErr w:type="spellStart"/>
      <w:r w:rsidR="00C9560C" w:rsidRPr="00C9560C">
        <w:rPr>
          <w:rFonts w:ascii="Garamond" w:hAnsi="Garamond" w:cs="Traditional Arabic"/>
          <w:lang w:bidi="ar-EG"/>
        </w:rPr>
        <w:t>Zahri</w:t>
      </w:r>
      <w:proofErr w:type="spellEnd"/>
      <w:r w:rsidR="00C9560C" w:rsidRPr="00C9560C">
        <w:rPr>
          <w:rFonts w:ascii="Garamond" w:hAnsi="Garamond" w:cs="Traditional Arabic"/>
          <w:lang w:bidi="ar-EG"/>
        </w:rPr>
        <w:t xml:space="preserve"> </w:t>
      </w:r>
      <w:proofErr w:type="spellStart"/>
      <w:r w:rsidR="00C9560C" w:rsidRPr="00C9560C">
        <w:rPr>
          <w:rFonts w:ascii="Garamond" w:hAnsi="Garamond" w:cs="Traditional Arabic"/>
          <w:lang w:bidi="ar-EG"/>
        </w:rPr>
        <w:t>Qadsi</w:t>
      </w:r>
      <w:proofErr w:type="spellEnd"/>
      <w:r w:rsidR="00C9560C" w:rsidRPr="00C9560C">
        <w:rPr>
          <w:rFonts w:ascii="Garamond" w:hAnsi="Garamond" w:cs="Traditional Arabic"/>
          <w:lang w:bidi="ar-EG"/>
        </w:rPr>
        <w:t xml:space="preserve">, who said that on this point of the relationship between religion, modernity, and the culture of the ancestors, acculturation and </w:t>
      </w:r>
      <w:proofErr w:type="spellStart"/>
      <w:r w:rsidR="00C9560C" w:rsidRPr="00C9560C">
        <w:rPr>
          <w:rFonts w:ascii="Garamond" w:hAnsi="Garamond" w:cs="Traditional Arabic"/>
          <w:lang w:bidi="ar-EG"/>
        </w:rPr>
        <w:t>interculturalism</w:t>
      </w:r>
      <w:proofErr w:type="spellEnd"/>
      <w:r w:rsidR="00C9560C" w:rsidRPr="00C9560C">
        <w:rPr>
          <w:rFonts w:ascii="Garamond" w:hAnsi="Garamond" w:cs="Traditional Arabic"/>
          <w:lang w:bidi="ar-EG"/>
        </w:rPr>
        <w:t xml:space="preserve"> appear in their various forms, and therefore all of these constitute a socio-cultural practice.</w:t>
      </w:r>
      <w:r w:rsidR="00FB14E1" w:rsidRPr="00E5791D">
        <w:rPr>
          <w:rStyle w:val="FootnoteReference"/>
          <w:rFonts w:ascii="Garamond" w:hAnsi="Garamond"/>
          <w:rtl/>
        </w:rPr>
        <w:footnoteReference w:id="18"/>
      </w:r>
    </w:p>
    <w:p w:rsidR="00FB14E1" w:rsidRPr="00C9560C" w:rsidRDefault="00C9560C" w:rsidP="00B20E9E">
      <w:pPr>
        <w:ind w:firstLine="720"/>
        <w:jc w:val="both"/>
        <w:rPr>
          <w:rFonts w:ascii="Garamond" w:hAnsi="Garamond" w:cs="Traditional Arabic"/>
          <w:rtl/>
          <w:lang w:bidi="ar-EG"/>
        </w:rPr>
      </w:pPr>
      <w:r w:rsidRPr="00C9560C">
        <w:rPr>
          <w:rFonts w:ascii="Garamond" w:hAnsi="Garamond" w:cs="Traditional Arabic"/>
          <w:lang w:bidi="ar-EG"/>
        </w:rPr>
        <w:lastRenderedPageBreak/>
        <w:t xml:space="preserve">As mentioned earlier, this methodology was first developed at the State Islamic University of </w:t>
      </w:r>
      <w:proofErr w:type="spellStart"/>
      <w:r w:rsidRPr="00C9560C">
        <w:rPr>
          <w:rFonts w:ascii="Garamond" w:hAnsi="Garamond" w:cs="Traditional Arabic"/>
          <w:lang w:bidi="ar-EG"/>
        </w:rPr>
        <w:t>Sunan</w:t>
      </w:r>
      <w:proofErr w:type="spellEnd"/>
      <w:r w:rsidRPr="00C9560C">
        <w:rPr>
          <w:rFonts w:ascii="Garamond" w:hAnsi="Garamond" w:cs="Traditional Arabic"/>
          <w:lang w:bidi="ar-EG"/>
        </w:rPr>
        <w:t xml:space="preserve"> </w:t>
      </w:r>
      <w:proofErr w:type="spellStart"/>
      <w:r w:rsidRPr="00C9560C">
        <w:rPr>
          <w:rFonts w:ascii="Garamond" w:hAnsi="Garamond" w:cs="Traditional Arabic"/>
          <w:lang w:bidi="ar-EG"/>
        </w:rPr>
        <w:t>Kalijaga</w:t>
      </w:r>
      <w:proofErr w:type="spellEnd"/>
      <w:r w:rsidRPr="00C9560C">
        <w:rPr>
          <w:rFonts w:ascii="Garamond" w:hAnsi="Garamond" w:cs="Traditional Arabic"/>
          <w:lang w:bidi="ar-EG"/>
        </w:rPr>
        <w:t xml:space="preserve"> in Yogyakarta, specifically since 2005. Although the discourse had existed long before that year and developed in the form of hermeneutics, starting in 2005, hermeneutics in the study of the Qur'an and Hadith was given the name “Living Qur'an and Hadith” approach. According to </w:t>
      </w:r>
      <w:proofErr w:type="spellStart"/>
      <w:r w:rsidRPr="00C9560C">
        <w:rPr>
          <w:rFonts w:ascii="Garamond" w:hAnsi="Garamond" w:cs="Traditional Arabic"/>
          <w:lang w:bidi="ar-EG"/>
        </w:rPr>
        <w:t>Saifuddin</w:t>
      </w:r>
      <w:proofErr w:type="spellEnd"/>
      <w:r w:rsidRPr="00C9560C">
        <w:rPr>
          <w:rFonts w:ascii="Garamond" w:hAnsi="Garamond" w:cs="Traditional Arabic"/>
          <w:lang w:bidi="ar-EG"/>
        </w:rPr>
        <w:t xml:space="preserve"> </w:t>
      </w:r>
      <w:proofErr w:type="spellStart"/>
      <w:r w:rsidRPr="00C9560C">
        <w:rPr>
          <w:rFonts w:ascii="Garamond" w:hAnsi="Garamond" w:cs="Traditional Arabic"/>
          <w:lang w:bidi="ar-EG"/>
        </w:rPr>
        <w:t>Zahri</w:t>
      </w:r>
      <w:proofErr w:type="spellEnd"/>
      <w:r w:rsidRPr="00C9560C">
        <w:rPr>
          <w:rFonts w:ascii="Garamond" w:hAnsi="Garamond" w:cs="Traditional Arabic"/>
          <w:lang w:bidi="ar-EG"/>
        </w:rPr>
        <w:t xml:space="preserve"> </w:t>
      </w:r>
      <w:proofErr w:type="spellStart"/>
      <w:r w:rsidRPr="00C9560C">
        <w:rPr>
          <w:rFonts w:ascii="Garamond" w:hAnsi="Garamond" w:cs="Traditional Arabic"/>
          <w:lang w:bidi="ar-EG"/>
        </w:rPr>
        <w:t>Qudsi</w:t>
      </w:r>
      <w:proofErr w:type="spellEnd"/>
      <w:r w:rsidRPr="00C9560C">
        <w:rPr>
          <w:rFonts w:ascii="Garamond" w:hAnsi="Garamond" w:cs="Traditional Arabic"/>
          <w:lang w:bidi="ar-EG"/>
        </w:rPr>
        <w:t>, the idea of the “Living Hadith” approach can be divided into three periods since its earliest inception. The first period was from 2005 to 2010, the second period was from 2010 to 2016, and the third period was from 2016 to the present</w:t>
      </w:r>
      <w:r w:rsidR="00B20E9E">
        <w:rPr>
          <w:rFonts w:ascii="Garamond" w:hAnsi="Garamond" w:cs="Traditional Arabic"/>
          <w:lang w:bidi="ar-EG"/>
        </w:rPr>
        <w:t>.</w:t>
      </w:r>
      <w:r w:rsidR="00FB14E1" w:rsidRPr="00C9560C">
        <w:rPr>
          <w:rStyle w:val="FootnoteReference"/>
          <w:rFonts w:ascii="Garamond" w:hAnsi="Garamond"/>
          <w:rtl/>
        </w:rPr>
        <w:footnoteReference w:id="19"/>
      </w:r>
    </w:p>
    <w:p w:rsidR="00FB14E1" w:rsidRPr="000C0212" w:rsidRDefault="00D94267" w:rsidP="000C0212">
      <w:pPr>
        <w:ind w:firstLine="720"/>
        <w:jc w:val="both"/>
        <w:rPr>
          <w:rFonts w:ascii="Garamond" w:hAnsi="Garamond" w:cs="Traditional Arabic"/>
          <w:rtl/>
          <w:lang w:bidi="ar-EG"/>
        </w:rPr>
      </w:pPr>
      <w:r w:rsidRPr="000C0212">
        <w:rPr>
          <w:rFonts w:ascii="Garamond" w:hAnsi="Garamond" w:cs="Traditional Arabic"/>
          <w:lang w:bidi="ar-EG"/>
        </w:rPr>
        <w:t>The first period (2005-2010) was a time of creativity and dissemination of ideas, as well as a period of discovery for the Living Hadith study method</w:t>
      </w:r>
      <w:r w:rsidR="000C0212" w:rsidRPr="000C0212">
        <w:rPr>
          <w:rFonts w:ascii="Garamond" w:hAnsi="Garamond" w:cs="Traditional Arabic"/>
          <w:lang w:bidi="ar-EG"/>
        </w:rPr>
        <w:t>.</w:t>
      </w:r>
      <w:r w:rsidR="00FB14E1" w:rsidRPr="000C0212">
        <w:rPr>
          <w:rStyle w:val="FootnoteReference"/>
          <w:rFonts w:ascii="Garamond" w:hAnsi="Garamond"/>
          <w:rtl/>
        </w:rPr>
        <w:footnoteReference w:id="20"/>
      </w:r>
      <w:r w:rsidR="000C0212" w:rsidRPr="000C0212">
        <w:rPr>
          <w:rFonts w:ascii="Garamond" w:hAnsi="Garamond" w:cs="Traditional Arabic"/>
          <w:lang w:bidi="ar-EG"/>
        </w:rPr>
        <w:t xml:space="preserve"> </w:t>
      </w:r>
      <w:r w:rsidR="000C0212" w:rsidRPr="000C0212">
        <w:rPr>
          <w:rFonts w:ascii="Garamond" w:hAnsi="Garamond"/>
        </w:rPr>
        <w:t xml:space="preserve">The second period (2010-2016) was known for adding “Living Hadith” and “Hadith and Social Culture” to the interpretation and hadith study programs. And since these programs were required, students learned different concepts. This period was divided into two types of studies. The first category is studies that focused on practices and traditions, while the second category is studies that dealt with “Living Hadith” to understand the </w:t>
      </w:r>
      <w:proofErr w:type="spellStart"/>
      <w:r w:rsidR="000C0212" w:rsidRPr="000C0212">
        <w:rPr>
          <w:rFonts w:ascii="Garamond" w:hAnsi="Garamond"/>
        </w:rPr>
        <w:t>Sunnah</w:t>
      </w:r>
      <w:proofErr w:type="spellEnd"/>
      <w:r w:rsidR="000C0212" w:rsidRPr="000C0212">
        <w:rPr>
          <w:rFonts w:ascii="Garamond" w:hAnsi="Garamond" w:cs="Traditional Arabic"/>
          <w:lang w:bidi="ar-EG"/>
        </w:rPr>
        <w:t>.</w:t>
      </w:r>
      <w:r w:rsidR="00FB14E1" w:rsidRPr="000C0212">
        <w:rPr>
          <w:rStyle w:val="FootnoteReference"/>
          <w:rFonts w:ascii="Garamond" w:hAnsi="Garamond"/>
          <w:rtl/>
        </w:rPr>
        <w:footnoteReference w:id="21"/>
      </w:r>
      <w:r w:rsidR="000C0212">
        <w:rPr>
          <w:rFonts w:ascii="Garamond" w:hAnsi="Garamond" w:cs="Traditional Arabic"/>
          <w:lang w:bidi="ar-EG"/>
        </w:rPr>
        <w:t xml:space="preserve"> </w:t>
      </w:r>
      <w:r w:rsidR="000C0212" w:rsidRPr="000C0212">
        <w:rPr>
          <w:rFonts w:ascii="Garamond" w:hAnsi="Garamond" w:cs="Traditional Arabic"/>
          <w:lang w:bidi="ar-EG"/>
        </w:rPr>
        <w:t>The third period (2016-present) has developed through the publication of journals using the “Living Hadith” method.</w:t>
      </w:r>
      <w:r w:rsidR="00FB14E1" w:rsidRPr="000C0212">
        <w:rPr>
          <w:rStyle w:val="FootnoteReference"/>
          <w:rFonts w:ascii="Garamond" w:hAnsi="Garamond"/>
          <w:rtl/>
        </w:rPr>
        <w:footnoteReference w:id="22"/>
      </w:r>
    </w:p>
    <w:p w:rsidR="00FB14E1" w:rsidRPr="00713055" w:rsidRDefault="00713055" w:rsidP="00713055">
      <w:pPr>
        <w:ind w:firstLine="720"/>
        <w:jc w:val="both"/>
        <w:rPr>
          <w:rFonts w:ascii="Garamond" w:hAnsi="Garamond" w:cs="Traditional Arabic"/>
          <w:rtl/>
          <w:lang w:bidi="ar-EG"/>
        </w:rPr>
      </w:pPr>
      <w:r w:rsidRPr="00713055">
        <w:rPr>
          <w:rFonts w:ascii="Garamond" w:hAnsi="Garamond" w:cs="Traditional Arabic"/>
          <w:lang w:bidi="ar-EG"/>
        </w:rPr>
        <w:t xml:space="preserve">Accordingly, before the development of the Living Hadith methodology into a research approach, there was already a subject known as “Hadith and Socio-Cultural Studies” that was used as a required course at the State Islamic University of </w:t>
      </w:r>
      <w:proofErr w:type="spellStart"/>
      <w:r w:rsidRPr="00713055">
        <w:rPr>
          <w:rFonts w:ascii="Garamond" w:hAnsi="Garamond" w:cs="Traditional Arabic"/>
          <w:lang w:bidi="ar-EG"/>
        </w:rPr>
        <w:t>Sunan</w:t>
      </w:r>
      <w:proofErr w:type="spellEnd"/>
      <w:r w:rsidRPr="00713055">
        <w:rPr>
          <w:rFonts w:ascii="Garamond" w:hAnsi="Garamond" w:cs="Traditional Arabic"/>
          <w:lang w:bidi="ar-EG"/>
        </w:rPr>
        <w:t xml:space="preserve"> </w:t>
      </w:r>
      <w:proofErr w:type="spellStart"/>
      <w:r w:rsidRPr="00713055">
        <w:rPr>
          <w:rFonts w:ascii="Garamond" w:hAnsi="Garamond" w:cs="Traditional Arabic"/>
          <w:lang w:bidi="ar-EG"/>
        </w:rPr>
        <w:t>Kalijaga</w:t>
      </w:r>
      <w:proofErr w:type="spellEnd"/>
      <w:r w:rsidRPr="00713055">
        <w:rPr>
          <w:rFonts w:ascii="Garamond" w:hAnsi="Garamond" w:cs="Traditional Arabic"/>
          <w:lang w:bidi="ar-EG"/>
        </w:rPr>
        <w:t xml:space="preserve"> in Yogyakarta.</w:t>
      </w:r>
      <w:r>
        <w:rPr>
          <w:rFonts w:ascii="Garamond" w:hAnsi="Garamond" w:cs="Traditional Arabic" w:hint="cs"/>
          <w:rtl/>
          <w:lang w:bidi="ar-EG"/>
        </w:rPr>
        <w:t xml:space="preserve"> </w:t>
      </w:r>
      <w:r w:rsidR="00FB14E1" w:rsidRPr="00713055">
        <w:rPr>
          <w:rStyle w:val="FootnoteReference"/>
          <w:rFonts w:ascii="Garamond" w:hAnsi="Garamond"/>
          <w:rtl/>
        </w:rPr>
        <w:footnoteReference w:id="23"/>
      </w:r>
      <w:r w:rsidRPr="00713055">
        <w:rPr>
          <w:rFonts w:ascii="Garamond" w:hAnsi="Garamond" w:cs="Traditional Arabic"/>
          <w:lang w:bidi="ar-EG"/>
        </w:rPr>
        <w:t xml:space="preserve">It is clear from this issue that the hermeneutic influence is very strong, because the socio-cultural approach constantly focuses on social changes in society. For supporters of this approach, the context in which the text was revealed by God was the social culture of Arab society, which differs from the social culture of Indonesian society. In this case, </w:t>
      </w:r>
      <w:proofErr w:type="spellStart"/>
      <w:r w:rsidRPr="00713055">
        <w:rPr>
          <w:rFonts w:ascii="Garamond" w:hAnsi="Garamond" w:cs="Traditional Arabic"/>
          <w:lang w:bidi="ar-EG"/>
        </w:rPr>
        <w:t>Saifuddin</w:t>
      </w:r>
      <w:proofErr w:type="spellEnd"/>
      <w:r w:rsidRPr="00713055">
        <w:rPr>
          <w:rFonts w:ascii="Garamond" w:hAnsi="Garamond" w:cs="Traditional Arabic"/>
          <w:lang w:bidi="ar-EG"/>
        </w:rPr>
        <w:t xml:space="preserve"> </w:t>
      </w:r>
      <w:proofErr w:type="spellStart"/>
      <w:r w:rsidRPr="00713055">
        <w:rPr>
          <w:rFonts w:ascii="Garamond" w:hAnsi="Garamond" w:cs="Traditional Arabic"/>
          <w:lang w:bidi="ar-EG"/>
        </w:rPr>
        <w:t>Zahri</w:t>
      </w:r>
      <w:proofErr w:type="spellEnd"/>
      <w:r w:rsidRPr="00713055">
        <w:rPr>
          <w:rFonts w:ascii="Garamond" w:hAnsi="Garamond" w:cs="Traditional Arabic"/>
          <w:lang w:bidi="ar-EG"/>
        </w:rPr>
        <w:t xml:space="preserve"> </w:t>
      </w:r>
      <w:proofErr w:type="spellStart"/>
      <w:r w:rsidRPr="00713055">
        <w:rPr>
          <w:rFonts w:ascii="Garamond" w:hAnsi="Garamond" w:cs="Traditional Arabic"/>
          <w:lang w:bidi="ar-EG"/>
        </w:rPr>
        <w:t>Qadsi</w:t>
      </w:r>
      <w:proofErr w:type="spellEnd"/>
      <w:r w:rsidRPr="00713055">
        <w:rPr>
          <w:rFonts w:ascii="Garamond" w:hAnsi="Garamond" w:cs="Traditional Arabic"/>
          <w:lang w:bidi="ar-EG"/>
        </w:rPr>
        <w:t>, for example, said sarcastically</w:t>
      </w:r>
      <w:r>
        <w:rPr>
          <w:rFonts w:ascii="Garamond" w:hAnsi="Garamond" w:cs="Traditional Arabic" w:hint="cs"/>
          <w:rtl/>
          <w:lang w:bidi="ar-EG"/>
        </w:rPr>
        <w:t>:</w:t>
      </w:r>
    </w:p>
    <w:p w:rsidR="00FB14E1" w:rsidRPr="007F6FF9" w:rsidRDefault="007F6FF9" w:rsidP="007F6FF9">
      <w:pPr>
        <w:ind w:left="720" w:right="680"/>
        <w:jc w:val="both"/>
        <w:rPr>
          <w:rFonts w:ascii="Garamond" w:hAnsi="Garamond" w:cstheme="majorBidi"/>
          <w:rtl/>
          <w:lang w:bidi="ar-EG"/>
        </w:rPr>
      </w:pPr>
      <w:proofErr w:type="gramStart"/>
      <w:r w:rsidRPr="007F6FF9">
        <w:rPr>
          <w:rFonts w:ascii="Garamond" w:hAnsi="Garamond" w:cs="Traditional Arabic"/>
          <w:lang w:bidi="ar-EG"/>
        </w:rPr>
        <w:t xml:space="preserve">“Saudi Arabia, </w:t>
      </w:r>
      <w:proofErr w:type="spellStart"/>
      <w:r w:rsidRPr="007F6FF9">
        <w:rPr>
          <w:rFonts w:ascii="Garamond" w:hAnsi="Garamond" w:cs="Traditional Arabic"/>
          <w:lang w:bidi="ar-EG"/>
        </w:rPr>
        <w:t>tempat</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produksi</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teks</w:t>
      </w:r>
      <w:proofErr w:type="spellEnd"/>
      <w:r w:rsidRPr="007F6FF9">
        <w:rPr>
          <w:rFonts w:ascii="Garamond" w:hAnsi="Garamond" w:cs="Traditional Arabic"/>
          <w:lang w:bidi="ar-EG"/>
        </w:rPr>
        <w:t xml:space="preserve"> al-Qur'an </w:t>
      </w:r>
      <w:proofErr w:type="spellStart"/>
      <w:r w:rsidRPr="007F6FF9">
        <w:rPr>
          <w:rFonts w:ascii="Garamond" w:hAnsi="Garamond" w:cs="Traditional Arabic"/>
          <w:lang w:bidi="ar-EG"/>
        </w:rPr>
        <w:t>dan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Hadis</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serta</w:t>
      </w:r>
      <w:proofErr w:type="spellEnd"/>
      <w:r w:rsidRPr="007F6FF9">
        <w:rPr>
          <w:rFonts w:ascii="Garamond" w:hAnsi="Garamond" w:cs="Traditional Arabic"/>
          <w:lang w:bidi="ar-EG"/>
        </w:rPr>
        <w:t xml:space="preserve"> Indonesia </w:t>
      </w:r>
      <w:proofErr w:type="spellStart"/>
      <w:r w:rsidRPr="007F6FF9">
        <w:rPr>
          <w:rFonts w:ascii="Garamond" w:hAnsi="Garamond" w:cs="Traditional Arabic"/>
          <w:lang w:bidi="ar-EG"/>
        </w:rPr>
        <w:t>sebagai</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negara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dengan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mayoritas</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muslim</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terbanyak</w:t>
      </w:r>
      <w:proofErr w:type="spellEnd"/>
      <w:r w:rsidRPr="007F6FF9">
        <w:rPr>
          <w:rFonts w:ascii="Garamond" w:hAnsi="Garamond" w:cs="Traditional Arabic"/>
          <w:lang w:bidi="ar-EG"/>
        </w:rPr>
        <w:t xml:space="preserve"> di </w:t>
      </w:r>
      <w:proofErr w:type="spellStart"/>
      <w:r w:rsidRPr="007F6FF9">
        <w:rPr>
          <w:rFonts w:ascii="Garamond" w:hAnsi="Garamond" w:cs="Traditional Arabic"/>
          <w:lang w:bidi="ar-EG"/>
        </w:rPr>
        <w:t>dunia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memiliki</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ruang</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kultur</w:t>
      </w:r>
      <w:proofErr w:type="spellEnd"/>
      <w:r w:rsidRPr="007F6FF9">
        <w:rPr>
          <w:rFonts w:ascii="Garamond" w:hAnsi="Garamond" w:cs="Traditional Arabic"/>
          <w:lang w:bidi="ar-EG"/>
        </w:rPr>
        <w:t xml:space="preserve"> yang </w:t>
      </w:r>
      <w:proofErr w:type="spellStart"/>
      <w:r w:rsidRPr="007F6FF9">
        <w:rPr>
          <w:rFonts w:ascii="Garamond" w:hAnsi="Garamond" w:cs="Traditional Arabic"/>
          <w:lang w:bidi="ar-EG"/>
        </w:rPr>
        <w:t>berbeda</w:t>
      </w:r>
      <w:proofErr w:type="spellEnd"/>
      <w:r w:rsidRPr="007F6FF9">
        <w:rPr>
          <w:rFonts w:ascii="Garamond" w:hAnsi="Garamond" w:cs="Traditional Arabic"/>
          <w:lang w:bidi="ar-EG"/>
        </w:rPr>
        <w:t>.</w:t>
      </w:r>
      <w:proofErr w:type="gramEnd"/>
      <w:r w:rsidRPr="007F6FF9">
        <w:rPr>
          <w:rFonts w:ascii="Garamond" w:hAnsi="Garamond" w:cs="Traditional Arabic"/>
          <w:lang w:bidi="ar-EG"/>
        </w:rPr>
        <w:t xml:space="preserve"> </w:t>
      </w:r>
      <w:proofErr w:type="spellStart"/>
      <w:proofErr w:type="gramStart"/>
      <w:r w:rsidRPr="007F6FF9">
        <w:rPr>
          <w:rFonts w:ascii="Garamond" w:hAnsi="Garamond" w:cs="Traditional Arabic"/>
          <w:lang w:bidi="ar-EG"/>
        </w:rPr>
        <w:t>Perbedaan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geografis</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wilayah</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dimana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Makkah</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Madinah</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sebagai</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daerah</w:t>
      </w:r>
      <w:proofErr w:type="spellEnd"/>
      <w:r w:rsidRPr="007F6FF9">
        <w:rPr>
          <w:rFonts w:ascii="Garamond" w:hAnsi="Garamond" w:cs="Traditional Arabic"/>
          <w:lang w:bidi="ar-EG"/>
        </w:rPr>
        <w:t xml:space="preserve"> yang </w:t>
      </w:r>
      <w:proofErr w:type="spellStart"/>
      <w:r w:rsidRPr="007F6FF9">
        <w:rPr>
          <w:rFonts w:ascii="Garamond" w:hAnsi="Garamond" w:cs="Traditional Arabic"/>
          <w:lang w:bidi="ar-EG"/>
        </w:rPr>
        <w:t>isinya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lebih</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banyak</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bergurun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pasir</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tentu</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berbeda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dengan</w:t>
      </w:r>
      <w:proofErr w:type="spellEnd"/>
      <w:r w:rsidRPr="007F6FF9">
        <w:rPr>
          <w:rFonts w:ascii="Garamond" w:hAnsi="Garamond" w:cs="Traditional Arabic"/>
          <w:lang w:bidi="ar-EG"/>
        </w:rPr>
        <w:t xml:space="preserve"> Indonesia </w:t>
      </w:r>
      <w:proofErr w:type="spellStart"/>
      <w:r w:rsidRPr="007F6FF9">
        <w:rPr>
          <w:rFonts w:ascii="Garamond" w:hAnsi="Garamond" w:cs="Traditional Arabic"/>
          <w:lang w:bidi="ar-EG"/>
        </w:rPr>
        <w:t>sebagai</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negara</w:t>
      </w:r>
      <w:proofErr w:type="spellEnd"/>
      <w:r w:rsidRPr="007F6FF9">
        <w:rPr>
          <w:rFonts w:ascii="Garamond" w:hAnsi="Garamond" w:cs="Traditional Arabic"/>
          <w:lang w:bidi="ar-EG"/>
        </w:rPr>
        <w:t xml:space="preserve"> yang </w:t>
      </w:r>
      <w:proofErr w:type="spellStart"/>
      <w:r w:rsidRPr="007F6FF9">
        <w:rPr>
          <w:rFonts w:ascii="Garamond" w:hAnsi="Garamond" w:cs="Traditional Arabic"/>
          <w:lang w:bidi="ar-EG"/>
        </w:rPr>
        <w:t>mayoritas</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daerahnya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penuh</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dengan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hutan</w:t>
      </w:r>
      <w:proofErr w:type="spellEnd"/>
      <w:r w:rsidRPr="007F6FF9">
        <w:rPr>
          <w:rFonts w:ascii="Garamond" w:hAnsi="Garamond" w:cs="Traditional Arabic"/>
          <w:lang w:bidi="ar-EG"/>
        </w:rPr>
        <w:t>.</w:t>
      </w:r>
      <w:proofErr w:type="gramEnd"/>
      <w:r w:rsidRPr="007F6FF9">
        <w:rPr>
          <w:rFonts w:ascii="Garamond" w:hAnsi="Garamond" w:cs="Traditional Arabic"/>
          <w:lang w:bidi="ar-EG"/>
        </w:rPr>
        <w:t xml:space="preserve"> </w:t>
      </w:r>
      <w:proofErr w:type="gramStart"/>
      <w:r w:rsidRPr="007F6FF9">
        <w:rPr>
          <w:rFonts w:ascii="Garamond" w:hAnsi="Garamond" w:cs="Traditional Arabic"/>
          <w:lang w:bidi="ar-EG"/>
        </w:rPr>
        <w:t xml:space="preserve">Hal </w:t>
      </w:r>
      <w:proofErr w:type="spellStart"/>
      <w:r w:rsidRPr="007F6FF9">
        <w:rPr>
          <w:rFonts w:ascii="Garamond" w:hAnsi="Garamond" w:cs="Traditional Arabic"/>
          <w:lang w:bidi="ar-EG"/>
        </w:rPr>
        <w:t>ini</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tentu</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juga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berbeda</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dalam</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masalah</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adat</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istiadat</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dan</w:t>
      </w:r>
      <w:proofErr w:type="spellEnd"/>
      <w:r w:rsidRPr="007F6FF9">
        <w:rPr>
          <w:rFonts w:ascii="Garamond" w:hAnsi="Garamond" w:cs="Traditional Arabic"/>
          <w:lang w:bidi="ar-EG"/>
        </w:rPr>
        <w:t xml:space="preserve"> </w:t>
      </w:r>
      <w:proofErr w:type="spellStart"/>
      <w:r w:rsidRPr="007F6FF9">
        <w:rPr>
          <w:rFonts w:ascii="Garamond" w:hAnsi="Garamond" w:cs="Traditional Arabic"/>
          <w:lang w:bidi="ar-EG"/>
        </w:rPr>
        <w:t>kebudayaannya</w:t>
      </w:r>
      <w:proofErr w:type="spellEnd"/>
      <w:r w:rsidRPr="007F6FF9">
        <w:rPr>
          <w:rFonts w:ascii="Garamond" w:hAnsi="Garamond" w:cs="Traditional Arabic"/>
          <w:lang w:bidi="ar-EG"/>
        </w:rPr>
        <w:t>”</w:t>
      </w:r>
      <w:r w:rsidR="00FB14E1" w:rsidRPr="007F6FF9">
        <w:rPr>
          <w:rFonts w:ascii="Garamond" w:hAnsi="Garamond" w:cstheme="majorBidi"/>
          <w:lang w:bidi="ar-EG"/>
        </w:rPr>
        <w:t>.</w:t>
      </w:r>
      <w:proofErr w:type="gramEnd"/>
      <w:r w:rsidR="00FB14E1" w:rsidRPr="007F6FF9">
        <w:rPr>
          <w:rFonts w:ascii="Garamond" w:hAnsi="Garamond" w:cstheme="majorBidi"/>
          <w:rtl/>
          <w:lang w:bidi="ar-EG"/>
        </w:rPr>
        <w:t xml:space="preserve"> </w:t>
      </w:r>
      <w:r w:rsidR="00FB14E1" w:rsidRPr="00EF3382">
        <w:rPr>
          <w:rStyle w:val="FootnoteReference"/>
          <w:rFonts w:ascii="Garamond" w:hAnsi="Garamond"/>
          <w:rtl/>
        </w:rPr>
        <w:footnoteReference w:id="24"/>
      </w:r>
    </w:p>
    <w:p w:rsidR="00FB14E1" w:rsidRDefault="00EF3382" w:rsidP="005C31FD">
      <w:pPr>
        <w:ind w:firstLine="720"/>
        <w:jc w:val="both"/>
        <w:rPr>
          <w:rFonts w:ascii="Garamond" w:hAnsi="Garamond" w:cs="Traditional Arabic"/>
          <w:lang w:bidi="ar-EG"/>
        </w:rPr>
      </w:pPr>
      <w:bookmarkStart w:id="0" w:name="_Toc190122162"/>
      <w:bookmarkStart w:id="1" w:name="_Toc190151700"/>
      <w:r w:rsidRPr="00EF3382">
        <w:rPr>
          <w:rFonts w:ascii="Garamond" w:hAnsi="Garamond" w:cs="Traditional Arabic"/>
          <w:lang w:bidi="ar-EG"/>
        </w:rPr>
        <w:t xml:space="preserve">This argument contains a historical inaccuracy, as the Arabian Peninsula was not known as the Kingdom of Saudi Arabia at the time of the revelation. The Kingdom of Saudi Arabia was not founded until 1932, while before that year the Arabian Peninsula was still under the rule of the Ottoman Empire. In addition, </w:t>
      </w:r>
      <w:proofErr w:type="spellStart"/>
      <w:r w:rsidRPr="00713055">
        <w:rPr>
          <w:rFonts w:ascii="Garamond" w:hAnsi="Garamond" w:cs="Traditional Arabic"/>
          <w:lang w:bidi="ar-EG"/>
        </w:rPr>
        <w:t>Saifuddin</w:t>
      </w:r>
      <w:proofErr w:type="spellEnd"/>
      <w:r w:rsidRPr="00713055">
        <w:rPr>
          <w:rFonts w:ascii="Garamond" w:hAnsi="Garamond" w:cs="Traditional Arabic"/>
          <w:lang w:bidi="ar-EG"/>
        </w:rPr>
        <w:t xml:space="preserve"> </w:t>
      </w:r>
      <w:proofErr w:type="spellStart"/>
      <w:r w:rsidRPr="00713055">
        <w:rPr>
          <w:rFonts w:ascii="Garamond" w:hAnsi="Garamond" w:cs="Traditional Arabic"/>
          <w:lang w:bidi="ar-EG"/>
        </w:rPr>
        <w:t>Zahri</w:t>
      </w:r>
      <w:proofErr w:type="spellEnd"/>
      <w:r w:rsidRPr="00713055">
        <w:rPr>
          <w:rFonts w:ascii="Garamond" w:hAnsi="Garamond" w:cs="Traditional Arabic"/>
          <w:lang w:bidi="ar-EG"/>
        </w:rPr>
        <w:t xml:space="preserve"> </w:t>
      </w:r>
      <w:proofErr w:type="spellStart"/>
      <w:r w:rsidRPr="00713055">
        <w:rPr>
          <w:rFonts w:ascii="Garamond" w:hAnsi="Garamond" w:cs="Traditional Arabic"/>
          <w:lang w:bidi="ar-EG"/>
        </w:rPr>
        <w:t>Qadsi</w:t>
      </w:r>
      <w:proofErr w:type="spellEnd"/>
      <w:r w:rsidRPr="00EF3382">
        <w:rPr>
          <w:rFonts w:ascii="Garamond" w:hAnsi="Garamond" w:cs="Traditional Arabic"/>
          <w:lang w:bidi="ar-EG"/>
        </w:rPr>
        <w:t xml:space="preserve"> also believes that </w:t>
      </w:r>
      <w:r w:rsidRPr="00EF3382">
        <w:rPr>
          <w:rFonts w:ascii="Garamond" w:hAnsi="Garamond" w:cs="Traditional Arabic"/>
          <w:lang w:bidi="ar-EG"/>
        </w:rPr>
        <w:lastRenderedPageBreak/>
        <w:t xml:space="preserve">the Holy Quran and the Hadith of the Prophet </w:t>
      </w:r>
      <w:r w:rsidRPr="00EF3382">
        <w:rPr>
          <w:rFonts w:ascii="Garamond" w:hAnsi="Garamond" w:cs="Traditional Arabic"/>
          <w:rtl/>
          <w:lang w:bidi="ar-EG"/>
        </w:rPr>
        <w:t>ﷺ</w:t>
      </w:r>
      <w:r w:rsidRPr="00EF3382">
        <w:rPr>
          <w:rFonts w:ascii="Garamond" w:hAnsi="Garamond" w:cs="Traditional Arabic"/>
          <w:lang w:bidi="ar-EG"/>
        </w:rPr>
        <w:t xml:space="preserve"> are cultural products that originated in Mecca and Medina, which differ from Indonesian culture. This argument is similar to Nasr Hamid Abu </w:t>
      </w:r>
      <w:proofErr w:type="spellStart"/>
      <w:r w:rsidRPr="00EF3382">
        <w:rPr>
          <w:rFonts w:ascii="Garamond" w:hAnsi="Garamond" w:cs="Traditional Arabic"/>
          <w:lang w:bidi="ar-EG"/>
        </w:rPr>
        <w:t>Zayd's</w:t>
      </w:r>
      <w:proofErr w:type="spellEnd"/>
      <w:r w:rsidRPr="00EF3382">
        <w:rPr>
          <w:rFonts w:ascii="Garamond" w:hAnsi="Garamond" w:cs="Traditional Arabic"/>
          <w:lang w:bidi="ar-EG"/>
        </w:rPr>
        <w:t xml:space="preserve"> view that the Holy Quran was influenced by cultural products. Therefore, the researchers believe that this trend empties the Hadith of its legal authority and turns it into a relative social reflection.</w:t>
      </w:r>
    </w:p>
    <w:p w:rsidR="005C31FD" w:rsidRPr="005C31FD" w:rsidRDefault="005C31FD" w:rsidP="005C31FD">
      <w:pPr>
        <w:ind w:firstLine="720"/>
        <w:jc w:val="both"/>
        <w:rPr>
          <w:rFonts w:ascii="Garamond" w:hAnsi="Garamond" w:cs="Traditional Arabic"/>
          <w:lang w:bidi="ar-EG"/>
        </w:rPr>
      </w:pPr>
    </w:p>
    <w:bookmarkEnd w:id="0"/>
    <w:bookmarkEnd w:id="1"/>
    <w:p w:rsidR="00397AA6" w:rsidRPr="00397AA6" w:rsidRDefault="00397AA6" w:rsidP="005C31FD">
      <w:pPr>
        <w:jc w:val="both"/>
        <w:rPr>
          <w:rFonts w:ascii="Garamond" w:hAnsi="Garamond" w:cs="Traditional Arabic"/>
          <w:b/>
          <w:bCs/>
          <w:lang w:bidi="ar-EG"/>
        </w:rPr>
      </w:pPr>
      <w:r w:rsidRPr="00397AA6">
        <w:rPr>
          <w:rFonts w:ascii="Garamond" w:hAnsi="Garamond" w:cs="Traditional Arabic"/>
          <w:b/>
          <w:bCs/>
          <w:lang w:bidi="ar-EG"/>
        </w:rPr>
        <w:t xml:space="preserve">The Approach Model </w:t>
      </w:r>
      <w:r>
        <w:rPr>
          <w:rFonts w:ascii="Garamond" w:hAnsi="Garamond" w:cs="Traditional Arabic"/>
          <w:b/>
          <w:bCs/>
          <w:lang w:bidi="ar-EG"/>
        </w:rPr>
        <w:t>i</w:t>
      </w:r>
      <w:r w:rsidRPr="00397AA6">
        <w:rPr>
          <w:rFonts w:ascii="Garamond" w:hAnsi="Garamond" w:cs="Traditional Arabic"/>
          <w:b/>
          <w:bCs/>
          <w:lang w:bidi="ar-EG"/>
        </w:rPr>
        <w:t xml:space="preserve">n </w:t>
      </w:r>
      <w:r w:rsidR="00BB0EDB">
        <w:rPr>
          <w:rFonts w:ascii="Garamond" w:hAnsi="Garamond" w:cs="Traditional Arabic"/>
          <w:b/>
          <w:bCs/>
          <w:lang w:bidi="ar-EG"/>
        </w:rPr>
        <w:t>t</w:t>
      </w:r>
      <w:r w:rsidRPr="00397AA6">
        <w:rPr>
          <w:rFonts w:ascii="Garamond" w:hAnsi="Garamond" w:cs="Traditional Arabic"/>
          <w:b/>
          <w:bCs/>
          <w:lang w:bidi="ar-EG"/>
        </w:rPr>
        <w:t xml:space="preserve">he Living Hadith Methodology </w:t>
      </w:r>
      <w:r>
        <w:rPr>
          <w:rFonts w:ascii="Garamond" w:hAnsi="Garamond" w:cs="Traditional Arabic"/>
          <w:b/>
          <w:bCs/>
          <w:lang w:bidi="ar-EG"/>
        </w:rPr>
        <w:t>i</w:t>
      </w:r>
      <w:r w:rsidRPr="00397AA6">
        <w:rPr>
          <w:rFonts w:ascii="Garamond" w:hAnsi="Garamond" w:cs="Traditional Arabic"/>
          <w:b/>
          <w:bCs/>
          <w:lang w:bidi="ar-EG"/>
        </w:rPr>
        <w:t>n Indonesia</w:t>
      </w:r>
    </w:p>
    <w:p w:rsidR="00FB14E1" w:rsidRPr="00397AA6" w:rsidRDefault="00397AA6" w:rsidP="005C31FD">
      <w:pPr>
        <w:ind w:firstLine="360"/>
        <w:jc w:val="both"/>
        <w:rPr>
          <w:rFonts w:ascii="Garamond" w:hAnsi="Garamond" w:cs="Traditional Arabic"/>
          <w:lang w:bidi="ar-EG"/>
        </w:rPr>
      </w:pPr>
      <w:r w:rsidRPr="00397AA6">
        <w:rPr>
          <w:rFonts w:ascii="Garamond" w:hAnsi="Garamond" w:cs="Traditional Arabic"/>
          <w:lang w:bidi="ar-EG"/>
        </w:rPr>
        <w:t xml:space="preserve">The use of “Living Hadith” as a new approach in hadith studies in Indonesia in practical application is based on several theories that are rooted in sociology and anthropology in the </w:t>
      </w:r>
      <w:proofErr w:type="spellStart"/>
      <w:r w:rsidRPr="00397AA6">
        <w:rPr>
          <w:rFonts w:ascii="Garamond" w:hAnsi="Garamond" w:cs="Traditional Arabic"/>
          <w:lang w:bidi="ar-EG"/>
        </w:rPr>
        <w:t>generalcontext</w:t>
      </w:r>
      <w:proofErr w:type="spellEnd"/>
      <w:r w:rsidRPr="00397AA6">
        <w:rPr>
          <w:rFonts w:ascii="Garamond" w:hAnsi="Garamond" w:cs="Traditional Arabic"/>
          <w:lang w:bidi="ar-EG"/>
        </w:rPr>
        <w:t>. This approach was chosen based on the realization that humans change dialectically, both as individuals and as members of society. In the study of “Living Hadith,” supporters are not concerned with the authenticity of the hadith. The most important aspect of this perspective is to look at the practices of people in their daily lives. Therefore, the theories used by supporters are as follows</w:t>
      </w:r>
      <w:r w:rsidR="00FB14E1" w:rsidRPr="00397AA6">
        <w:rPr>
          <w:rFonts w:ascii="Garamond" w:hAnsi="Garamond" w:cs="Traditional Arabic"/>
          <w:rtl/>
          <w:lang w:bidi="ar-EG"/>
        </w:rPr>
        <w:t>:</w:t>
      </w:r>
      <w:bookmarkStart w:id="2" w:name="_Toc190151701"/>
    </w:p>
    <w:p w:rsidR="00FB14E1" w:rsidRPr="00397AA6" w:rsidRDefault="00FB14E1" w:rsidP="00397AA6">
      <w:pPr>
        <w:pStyle w:val="ListParagraph"/>
        <w:numPr>
          <w:ilvl w:val="0"/>
          <w:numId w:val="1"/>
        </w:numPr>
        <w:jc w:val="both"/>
        <w:rPr>
          <w:rFonts w:ascii="Garamond" w:hAnsi="Garamond" w:cs="Traditional Arabic"/>
          <w:b/>
          <w:bCs/>
          <w:sz w:val="36"/>
          <w:szCs w:val="36"/>
          <w:lang w:bidi="ar-EG"/>
        </w:rPr>
      </w:pPr>
      <w:r w:rsidRPr="00AD5A79">
        <w:rPr>
          <w:rFonts w:ascii="Traditional Arabic" w:hAnsi="Traditional Arabic" w:cs="Traditional Arabic"/>
          <w:b/>
          <w:bCs/>
          <w:sz w:val="36"/>
          <w:szCs w:val="36"/>
          <w:rtl/>
        </w:rPr>
        <w:t xml:space="preserve"> </w:t>
      </w:r>
      <w:r w:rsidRPr="00397AA6">
        <w:rPr>
          <w:rFonts w:ascii="Garamond" w:hAnsi="Garamond" w:cstheme="majorBidi"/>
          <w:b/>
          <w:bCs/>
        </w:rPr>
        <w:t>Phenomenological Approach</w:t>
      </w:r>
      <w:bookmarkEnd w:id="2"/>
    </w:p>
    <w:p w:rsidR="00FB14E1" w:rsidRPr="00D761D5" w:rsidRDefault="00D761D5" w:rsidP="00BB0EDB">
      <w:pPr>
        <w:ind w:left="14" w:firstLine="706"/>
        <w:jc w:val="both"/>
        <w:rPr>
          <w:rFonts w:ascii="Garamond" w:hAnsi="Garamond" w:cs="Traditional Arabic"/>
          <w:rtl/>
          <w:lang w:bidi="ar-EG"/>
        </w:rPr>
      </w:pPr>
      <w:r w:rsidRPr="00D761D5">
        <w:rPr>
          <w:rFonts w:ascii="Garamond" w:hAnsi="Garamond" w:cs="Traditional Arabic"/>
          <w:lang w:bidi="ar-EG"/>
        </w:rPr>
        <w:t>Edmund Husserl's ideas became the most widely used theory, and Heidegger's influence on him led to a major breakthrough in contemporary hermeneutics. This is where the idea of phenomenology in Islamic studies began. Husserl's influence also appears to be strong in the “Living Hadith” model, and therefore many hadith studies use this theory. It is assumed that the reason for the popularity of this approach among his followers is that his ideas emphasize empiricism</w:t>
      </w:r>
      <w:r>
        <w:rPr>
          <w:rFonts w:ascii="Garamond" w:hAnsi="Garamond" w:cs="Traditional Arabic"/>
          <w:lang w:bidi="ar-EG"/>
        </w:rPr>
        <w:t>.</w:t>
      </w:r>
      <w:r w:rsidR="00FB14E1" w:rsidRPr="00D761D5">
        <w:rPr>
          <w:rStyle w:val="FootnoteReference"/>
          <w:rFonts w:ascii="Garamond" w:hAnsi="Garamond"/>
          <w:rtl/>
        </w:rPr>
        <w:footnoteReference w:id="25"/>
      </w:r>
      <w:r>
        <w:rPr>
          <w:rFonts w:ascii="Garamond" w:hAnsi="Garamond" w:cs="Traditional Arabic"/>
        </w:rPr>
        <w:t xml:space="preserve"> </w:t>
      </w:r>
      <w:r w:rsidRPr="00D761D5">
        <w:rPr>
          <w:rFonts w:ascii="Garamond" w:hAnsi="Garamond" w:cs="Traditional Arabic"/>
          <w:lang w:bidi="ar-EG"/>
        </w:rPr>
        <w:t xml:space="preserve">Therefore, what is seen in the study of “Living Hadith” is the practice that appears in society, whether in the form of ritual practice, traditions, writings, etc. As </w:t>
      </w:r>
      <w:proofErr w:type="spellStart"/>
      <w:r w:rsidRPr="00D761D5">
        <w:rPr>
          <w:rFonts w:ascii="Garamond" w:hAnsi="Garamond" w:cs="Traditional Arabic"/>
          <w:lang w:bidi="ar-EG"/>
        </w:rPr>
        <w:t>Saifuddin</w:t>
      </w:r>
      <w:proofErr w:type="spellEnd"/>
      <w:r w:rsidRPr="00D761D5">
        <w:rPr>
          <w:rFonts w:ascii="Garamond" w:hAnsi="Garamond" w:cs="Traditional Arabic"/>
          <w:lang w:bidi="ar-EG"/>
        </w:rPr>
        <w:t xml:space="preserve"> </w:t>
      </w:r>
      <w:proofErr w:type="spellStart"/>
      <w:r w:rsidRPr="00D761D5">
        <w:rPr>
          <w:rFonts w:ascii="Garamond" w:hAnsi="Garamond" w:cs="Traditional Arabic"/>
          <w:lang w:bidi="ar-EG"/>
        </w:rPr>
        <w:t>Z</w:t>
      </w:r>
      <w:r w:rsidR="00BB0EDB">
        <w:rPr>
          <w:rFonts w:ascii="Garamond" w:hAnsi="Garamond" w:cs="Traditional Arabic"/>
          <w:lang w:bidi="ar-EG"/>
        </w:rPr>
        <w:t>u</w:t>
      </w:r>
      <w:r w:rsidRPr="00D761D5">
        <w:rPr>
          <w:rFonts w:ascii="Garamond" w:hAnsi="Garamond" w:cs="Traditional Arabic"/>
          <w:lang w:bidi="ar-EG"/>
        </w:rPr>
        <w:t>hri</w:t>
      </w:r>
      <w:proofErr w:type="spellEnd"/>
      <w:r w:rsidRPr="00D761D5">
        <w:rPr>
          <w:rFonts w:ascii="Garamond" w:hAnsi="Garamond" w:cs="Traditional Arabic"/>
          <w:lang w:bidi="ar-EG"/>
        </w:rPr>
        <w:t xml:space="preserve"> mentioned, quoting Criswell, the goal of phenomenology is to reduce individual experiences of a phenomenon to a description of its general nature.</w:t>
      </w:r>
      <w:r w:rsidR="00FB14E1" w:rsidRPr="00D761D5">
        <w:rPr>
          <w:rStyle w:val="FootnoteReference"/>
          <w:rFonts w:ascii="Garamond" w:hAnsi="Garamond"/>
          <w:rtl/>
        </w:rPr>
        <w:footnoteReference w:id="26"/>
      </w:r>
    </w:p>
    <w:p w:rsidR="00FE1458" w:rsidRPr="00FE1458" w:rsidRDefault="00571E35" w:rsidP="00BB0EDB">
      <w:pPr>
        <w:ind w:left="14" w:firstLine="706"/>
        <w:jc w:val="both"/>
        <w:rPr>
          <w:rFonts w:ascii="Garamond" w:hAnsi="Garamond" w:cs="Traditional Arabic"/>
          <w:lang w:bidi="ar-EG"/>
        </w:rPr>
      </w:pPr>
      <w:r w:rsidRPr="00571E35">
        <w:rPr>
          <w:rFonts w:ascii="Garamond" w:hAnsi="Garamond" w:cs="Traditional Arabic"/>
          <w:lang w:bidi="ar-EG"/>
        </w:rPr>
        <w:t>Husserl's phenomenology is built on the concept of “</w:t>
      </w:r>
      <w:r w:rsidRPr="00BB0EDB">
        <w:rPr>
          <w:rFonts w:ascii="Garamond" w:hAnsi="Garamond" w:cs="Traditional Arabic"/>
          <w:i/>
          <w:iCs/>
          <w:lang w:bidi="ar-EG"/>
        </w:rPr>
        <w:t>Ego Cogito</w:t>
      </w:r>
      <w:r w:rsidR="00BB0EDB">
        <w:rPr>
          <w:rFonts w:ascii="Garamond" w:hAnsi="Garamond" w:cs="Traditional Arabic"/>
          <w:lang w:bidi="ar-EG"/>
        </w:rPr>
        <w:t>”</w:t>
      </w:r>
      <w:r w:rsidRPr="00571E35">
        <w:rPr>
          <w:rFonts w:ascii="Garamond" w:hAnsi="Garamond" w:cs="Traditional Arabic"/>
          <w:lang w:bidi="ar-EG"/>
        </w:rPr>
        <w:t>, which contradicts René Descartes' idea of “</w:t>
      </w:r>
      <w:r w:rsidRPr="00BB0EDB">
        <w:rPr>
          <w:rFonts w:ascii="Garamond" w:hAnsi="Garamond" w:cs="Traditional Arabic"/>
          <w:i/>
          <w:iCs/>
          <w:lang w:bidi="ar-EG"/>
        </w:rPr>
        <w:t>Cogito, Ergo Sum</w:t>
      </w:r>
      <w:r w:rsidRPr="00571E35">
        <w:rPr>
          <w:rFonts w:ascii="Garamond" w:hAnsi="Garamond" w:cs="Traditional Arabic"/>
          <w:lang w:bidi="ar-EG"/>
        </w:rPr>
        <w:t>”</w:t>
      </w:r>
      <w:r>
        <w:rPr>
          <w:rFonts w:ascii="Garamond" w:hAnsi="Garamond" w:cs="Traditional Arabic"/>
          <w:lang w:bidi="ar-EG"/>
        </w:rPr>
        <w:t>.</w:t>
      </w:r>
      <w:r w:rsidR="00FB14E1" w:rsidRPr="00571E35">
        <w:rPr>
          <w:rStyle w:val="FootnoteReference"/>
          <w:rFonts w:ascii="Garamond" w:hAnsi="Garamond"/>
          <w:rtl/>
        </w:rPr>
        <w:footnoteReference w:id="27"/>
      </w:r>
      <w:r>
        <w:rPr>
          <w:rFonts w:ascii="Garamond" w:hAnsi="Garamond" w:cs="Traditional Arabic"/>
          <w:lang w:bidi="ar-EG"/>
        </w:rPr>
        <w:t xml:space="preserve"> </w:t>
      </w:r>
      <w:r w:rsidRPr="00571E35">
        <w:rPr>
          <w:rFonts w:ascii="Garamond" w:hAnsi="Garamond" w:cs="Traditional Arabic"/>
          <w:lang w:bidi="ar-EG"/>
        </w:rPr>
        <w:t xml:space="preserve">Therefore, the most important element of Husserl's idea is existence. Consequently, existence in the context of phenomenology is, for him, the most important thing attributed to </w:t>
      </w:r>
      <w:proofErr w:type="spellStart"/>
      <w:r w:rsidRPr="00571E35">
        <w:rPr>
          <w:rFonts w:ascii="Garamond" w:hAnsi="Garamond" w:cs="Traditional Arabic"/>
          <w:lang w:bidi="ar-EG"/>
        </w:rPr>
        <w:t>naiv</w:t>
      </w:r>
      <w:proofErr w:type="spellEnd"/>
      <w:r w:rsidRPr="00571E35">
        <w:rPr>
          <w:rFonts w:ascii="Garamond" w:hAnsi="Garamond" w:cs="Traditional Arabic"/>
          <w:lang w:bidi="ar-EG"/>
        </w:rPr>
        <w:t>-consciousness.</w:t>
      </w:r>
      <w:r w:rsidR="00FB14E1" w:rsidRPr="00571E35">
        <w:rPr>
          <w:rStyle w:val="FootnoteReference"/>
          <w:rFonts w:ascii="Garamond" w:hAnsi="Garamond"/>
          <w:rtl/>
        </w:rPr>
        <w:footnoteReference w:id="28"/>
      </w:r>
      <w:r w:rsidRPr="00571E35">
        <w:rPr>
          <w:rFonts w:ascii="Garamond" w:hAnsi="Garamond" w:cs="Traditional Arabic"/>
          <w:lang w:bidi="ar-EG"/>
        </w:rPr>
        <w:t>Phenomena only exist when people stop dealing with a specific issue</w:t>
      </w:r>
      <w:r>
        <w:rPr>
          <w:rFonts w:ascii="Garamond" w:hAnsi="Garamond" w:cs="Traditional Arabic"/>
          <w:lang w:bidi="ar-EG"/>
        </w:rPr>
        <w:t>.</w:t>
      </w:r>
      <w:r w:rsidR="00FB14E1" w:rsidRPr="00571E35">
        <w:rPr>
          <w:rStyle w:val="FootnoteReference"/>
          <w:rFonts w:ascii="Garamond" w:hAnsi="Garamond"/>
          <w:rtl/>
        </w:rPr>
        <w:footnoteReference w:id="29"/>
      </w:r>
      <w:r w:rsidR="00FE1458">
        <w:rPr>
          <w:rFonts w:ascii="Garamond" w:hAnsi="Garamond" w:cs="Traditional Arabic"/>
          <w:lang w:bidi="ar-EG"/>
        </w:rPr>
        <w:t xml:space="preserve"> </w:t>
      </w:r>
      <w:r w:rsidR="00FE1458" w:rsidRPr="00FE1458">
        <w:rPr>
          <w:rFonts w:ascii="Garamond" w:hAnsi="Garamond" w:cs="Traditional Arabic"/>
          <w:lang w:bidi="ar-EG"/>
        </w:rPr>
        <w:t xml:space="preserve">The </w:t>
      </w:r>
      <w:proofErr w:type="spellStart"/>
      <w:r w:rsidR="00FE1458" w:rsidRPr="00FE1458">
        <w:rPr>
          <w:rFonts w:ascii="Garamond" w:hAnsi="Garamond" w:cs="Traditional Arabic"/>
          <w:lang w:bidi="ar-EG"/>
        </w:rPr>
        <w:t>Heideggerian</w:t>
      </w:r>
      <w:proofErr w:type="spellEnd"/>
      <w:r w:rsidR="00FE1458" w:rsidRPr="00FE1458">
        <w:rPr>
          <w:rFonts w:ascii="Garamond" w:hAnsi="Garamond" w:cs="Traditional Arabic"/>
          <w:lang w:bidi="ar-EG"/>
        </w:rPr>
        <w:t xml:space="preserve"> hermeneutics known as phenomenological hermeneutics comes to the fore here, which is considered the most appropriate model for understanding or interpreting texts and social practices. Phenomenology is not a text, artifact, or historical document, but rather the existential reality of human beings as </w:t>
      </w:r>
      <w:proofErr w:type="spellStart"/>
      <w:r w:rsidR="00BB0EDB">
        <w:rPr>
          <w:rFonts w:ascii="Garamond" w:hAnsi="Garamond" w:cs="Traditional Arabic"/>
          <w:lang w:bidi="ar-EG"/>
        </w:rPr>
        <w:t>d</w:t>
      </w:r>
      <w:r w:rsidR="00FE1458" w:rsidRPr="00FE1458">
        <w:rPr>
          <w:rFonts w:ascii="Garamond" w:hAnsi="Garamond" w:cs="Traditional Arabic"/>
          <w:lang w:bidi="ar-EG"/>
        </w:rPr>
        <w:t>asein</w:t>
      </w:r>
      <w:proofErr w:type="spellEnd"/>
      <w:r w:rsidR="00FE1458">
        <w:rPr>
          <w:rFonts w:ascii="Garamond" w:hAnsi="Garamond" w:cs="Traditional Arabic"/>
          <w:lang w:bidi="ar-EG"/>
        </w:rPr>
        <w:t>.</w:t>
      </w:r>
      <w:r w:rsidR="00FB14E1" w:rsidRPr="00FE1458">
        <w:rPr>
          <w:rStyle w:val="FootnoteReference"/>
          <w:rFonts w:ascii="Garamond" w:hAnsi="Garamond"/>
          <w:rtl/>
        </w:rPr>
        <w:footnoteReference w:id="30"/>
      </w:r>
      <w:r w:rsidR="00BB0EDB">
        <w:rPr>
          <w:rFonts w:ascii="Garamond" w:hAnsi="Garamond" w:cs="Traditional Arabic"/>
          <w:lang w:bidi="ar-EG"/>
        </w:rPr>
        <w:t xml:space="preserve"> </w:t>
      </w:r>
      <w:r w:rsidR="00BB0EDB" w:rsidRPr="00BB0EDB">
        <w:rPr>
          <w:rFonts w:ascii="Garamond" w:hAnsi="Garamond" w:cs="Traditional Arabic"/>
          <w:lang w:bidi="ar-EG"/>
        </w:rPr>
        <w:t>Thus, understanding (</w:t>
      </w:r>
      <w:proofErr w:type="spellStart"/>
      <w:r w:rsidR="00BB0EDB" w:rsidRPr="00BB0EDB">
        <w:rPr>
          <w:rFonts w:ascii="Garamond" w:hAnsi="Garamond" w:cs="Traditional Arabic"/>
          <w:lang w:bidi="ar-EG"/>
        </w:rPr>
        <w:t>Verstehen</w:t>
      </w:r>
      <w:proofErr w:type="spellEnd"/>
      <w:r w:rsidR="00BB0EDB" w:rsidRPr="00BB0EDB">
        <w:rPr>
          <w:rFonts w:ascii="Garamond" w:hAnsi="Garamond" w:cs="Traditional Arabic"/>
          <w:lang w:bidi="ar-EG"/>
        </w:rPr>
        <w:t xml:space="preserve">) is the reality that is </w:t>
      </w:r>
      <w:r w:rsidR="00BB0EDB" w:rsidRPr="00BB0EDB">
        <w:rPr>
          <w:rFonts w:ascii="Garamond" w:hAnsi="Garamond" w:cs="Traditional Arabic"/>
          <w:lang w:bidi="ar-EG"/>
        </w:rPr>
        <w:lastRenderedPageBreak/>
        <w:t xml:space="preserve">interpreted, and here “understanding” is no longer this or that, but rather the primordial mode of “being” that reveals itself. This influence has been widely used as a method among Indonesian students and intellectuals in various forms of writing, whether in </w:t>
      </w:r>
      <w:proofErr w:type="gramStart"/>
      <w:r w:rsidR="00BB0EDB" w:rsidRPr="00BB0EDB">
        <w:rPr>
          <w:rFonts w:ascii="Garamond" w:hAnsi="Garamond" w:cs="Traditional Arabic"/>
          <w:lang w:bidi="ar-EG"/>
        </w:rPr>
        <w:t>master's</w:t>
      </w:r>
      <w:proofErr w:type="gramEnd"/>
      <w:r w:rsidR="00BB0EDB" w:rsidRPr="00BB0EDB">
        <w:rPr>
          <w:rFonts w:ascii="Garamond" w:hAnsi="Garamond" w:cs="Traditional Arabic"/>
          <w:lang w:bidi="ar-EG"/>
        </w:rPr>
        <w:t xml:space="preserve"> and doctoral theses, scientific articles, or other forms of academic writing.</w:t>
      </w:r>
    </w:p>
    <w:p w:rsidR="00FB14E1" w:rsidRPr="00A14825" w:rsidRDefault="00FB14E1" w:rsidP="00BB0EDB">
      <w:pPr>
        <w:pStyle w:val="ListParagraph"/>
        <w:numPr>
          <w:ilvl w:val="0"/>
          <w:numId w:val="1"/>
        </w:numPr>
        <w:jc w:val="both"/>
        <w:rPr>
          <w:rFonts w:ascii="Garamond" w:hAnsi="Garamond" w:cs="Traditional Arabic"/>
          <w:b/>
          <w:bCs/>
          <w:sz w:val="36"/>
          <w:szCs w:val="36"/>
          <w:lang w:bidi="ar-EG"/>
        </w:rPr>
      </w:pPr>
      <w:bookmarkStart w:id="3" w:name="_Toc190151702"/>
      <w:r w:rsidRPr="00A14825">
        <w:rPr>
          <w:rFonts w:ascii="Garamond" w:hAnsi="Garamond" w:cstheme="majorBidi"/>
          <w:b/>
          <w:bCs/>
        </w:rPr>
        <w:t>Narrative</w:t>
      </w:r>
      <w:r w:rsidRPr="00A14825">
        <w:rPr>
          <w:rFonts w:ascii="Garamond" w:hAnsi="Garamond" w:cstheme="majorBidi"/>
          <w:b/>
          <w:bCs/>
          <w:i/>
          <w:iCs/>
        </w:rPr>
        <w:t xml:space="preserve"> </w:t>
      </w:r>
      <w:r w:rsidRPr="00A14825">
        <w:rPr>
          <w:rFonts w:ascii="Garamond" w:hAnsi="Garamond" w:cstheme="majorBidi"/>
          <w:b/>
          <w:bCs/>
        </w:rPr>
        <w:t>Studies</w:t>
      </w:r>
      <w:bookmarkEnd w:id="3"/>
    </w:p>
    <w:p w:rsidR="00FB14E1" w:rsidRPr="00D61CE5" w:rsidRDefault="005C31A5" w:rsidP="00D61CE5">
      <w:pPr>
        <w:ind w:left="14" w:firstLine="706"/>
        <w:jc w:val="both"/>
        <w:rPr>
          <w:rFonts w:ascii="Garamond" w:hAnsi="Garamond" w:cs="Traditional Arabic"/>
        </w:rPr>
      </w:pPr>
      <w:r w:rsidRPr="005C31A5">
        <w:rPr>
          <w:rFonts w:ascii="Garamond" w:hAnsi="Garamond" w:cs="Traditional Arabic"/>
          <w:lang w:bidi="ar-EG"/>
        </w:rPr>
        <w:t>The concept of narrative as a term used in qualitative research, with a focus on the stories told by individuals and the methods used to analyze and understand those stories. In this context, narrative is considered a qualitative design that aims to understand and analyze the events and experiences recounted by individuals in chronological order.</w:t>
      </w:r>
      <w:r w:rsidR="00FB14E1" w:rsidRPr="005C31A5">
        <w:rPr>
          <w:rStyle w:val="FootnoteReference"/>
          <w:rFonts w:ascii="Garamond" w:hAnsi="Garamond"/>
          <w:rtl/>
        </w:rPr>
        <w:footnoteReference w:id="31"/>
      </w:r>
      <w:r w:rsidRPr="005C31A5">
        <w:rPr>
          <w:rFonts w:ascii="Garamond" w:hAnsi="Garamond" w:cs="Traditional Arabic"/>
        </w:rPr>
        <w:t xml:space="preserve"> </w:t>
      </w:r>
      <w:r w:rsidRPr="005C31A5">
        <w:rPr>
          <w:rFonts w:ascii="Garamond" w:hAnsi="Garamond" w:cs="Traditional Arabic"/>
          <w:lang w:bidi="ar-EG"/>
        </w:rPr>
        <w:t xml:space="preserve">Narrative research has its </w:t>
      </w:r>
      <w:r w:rsidRPr="00D61CE5">
        <w:rPr>
          <w:rFonts w:ascii="Garamond" w:hAnsi="Garamond" w:cs="Traditional Arabic"/>
          <w:lang w:bidi="ar-EG"/>
        </w:rPr>
        <w:t>roots in several fields such as literature, history, anthropology, sociology, sociolinguistics, and education.</w:t>
      </w:r>
      <w:r w:rsidR="00FB14E1" w:rsidRPr="00D61CE5">
        <w:rPr>
          <w:rStyle w:val="FootnoteReference"/>
          <w:rFonts w:ascii="Garamond" w:hAnsi="Garamond"/>
          <w:rtl/>
        </w:rPr>
        <w:footnoteReference w:id="32"/>
      </w:r>
      <w:r w:rsidR="00D61CE5" w:rsidRPr="00D61CE5">
        <w:rPr>
          <w:rFonts w:ascii="Garamond" w:hAnsi="Garamond" w:cs="Traditional Arabic"/>
          <w:lang w:bidi="ar-EG"/>
        </w:rPr>
        <w:t xml:space="preserve"> This research draws on different approaches in several fields, such as postmodern organizational theory, evolutionary humanism, psychology, and sociology. Interdisciplinary collaboration in this field is encouraged, and narrative research is considered a developing field.</w:t>
      </w:r>
      <w:r w:rsidR="00FB14E1" w:rsidRPr="00D61CE5">
        <w:rPr>
          <w:rStyle w:val="FootnoteReference"/>
          <w:rFonts w:ascii="Garamond" w:hAnsi="Garamond"/>
          <w:rtl/>
        </w:rPr>
        <w:footnoteReference w:id="33"/>
      </w:r>
      <w:r w:rsidR="00D61CE5">
        <w:rPr>
          <w:rFonts w:ascii="Garamond" w:hAnsi="Garamond" w:cs="Traditional Arabic"/>
          <w:lang w:bidi="ar-EG"/>
        </w:rPr>
        <w:t xml:space="preserve"> </w:t>
      </w:r>
    </w:p>
    <w:p w:rsidR="00FB14E1" w:rsidRPr="00D61CE5" w:rsidRDefault="00D61CE5" w:rsidP="00205BEB">
      <w:pPr>
        <w:ind w:left="14" w:firstLine="706"/>
        <w:jc w:val="both"/>
        <w:rPr>
          <w:rFonts w:ascii="Garamond" w:hAnsi="Garamond" w:cs="Traditional Arabic"/>
          <w:lang w:bidi="ar-EG"/>
        </w:rPr>
      </w:pPr>
      <w:r w:rsidRPr="00D61CE5">
        <w:rPr>
          <w:rFonts w:ascii="Garamond" w:hAnsi="Garamond" w:cs="Traditional Arabic"/>
          <w:lang w:bidi="ar-EG"/>
        </w:rPr>
        <w:t>Consequently, narrative research is one of the models proposed for “Living Hadith” research in Indonesia. This method is used to research personalities or narratives that appear in society</w:t>
      </w:r>
      <w:r w:rsidR="00205BEB">
        <w:rPr>
          <w:rFonts w:ascii="Garamond" w:hAnsi="Garamond" w:cs="Traditional Arabic"/>
          <w:lang w:bidi="ar-EG"/>
        </w:rPr>
        <w:t>.</w:t>
      </w:r>
      <w:r w:rsidR="00FB14E1" w:rsidRPr="00D61CE5">
        <w:rPr>
          <w:rStyle w:val="FootnoteReference"/>
          <w:rFonts w:ascii="Garamond" w:hAnsi="Garamond"/>
          <w:rtl/>
        </w:rPr>
        <w:footnoteReference w:id="34"/>
      </w:r>
      <w:r w:rsidR="00FB14E1" w:rsidRPr="00D61CE5">
        <w:rPr>
          <w:rFonts w:ascii="Garamond" w:hAnsi="Garamond" w:cs="Traditional Arabic"/>
          <w:rtl/>
          <w:lang w:bidi="ar-EG"/>
        </w:rPr>
        <w:t xml:space="preserve"> </w:t>
      </w:r>
      <w:r w:rsidRPr="00D61CE5">
        <w:rPr>
          <w:rFonts w:ascii="Garamond" w:hAnsi="Garamond" w:cs="Traditional Arabic"/>
          <w:lang w:bidi="ar-EG"/>
        </w:rPr>
        <w:t xml:space="preserve">Such as the practice of prophetic discourse in some institutions or communities in some </w:t>
      </w:r>
      <w:proofErr w:type="gramStart"/>
      <w:r w:rsidRPr="00D61CE5">
        <w:rPr>
          <w:rFonts w:ascii="Garamond" w:hAnsi="Garamond" w:cs="Traditional Arabic"/>
          <w:lang w:bidi="ar-EG"/>
        </w:rPr>
        <w:t>existing</w:t>
      </w:r>
      <w:proofErr w:type="gramEnd"/>
      <w:r w:rsidRPr="00D61CE5">
        <w:rPr>
          <w:rFonts w:ascii="Garamond" w:hAnsi="Garamond" w:cs="Traditional Arabic"/>
          <w:lang w:bidi="ar-EG"/>
        </w:rPr>
        <w:t xml:space="preserve"> societies. The problem that arises from the idea of narrative research is that it overlooks the reality of the narrative in terms of historical truth, the reality of phenomena, and the psychological reality that develops in the narrative that develops in society. As Gerald Prince and Arlene Noble mentioned, narrative studies focus only on the narrative without considering who is narrating it, and they generally do so on the basis of fictional texts without showing any interest in the nature of the story or in knowing the extent of its accuracy</w:t>
      </w:r>
      <w:r w:rsidR="00205BEB">
        <w:rPr>
          <w:rFonts w:ascii="Garamond" w:hAnsi="Garamond" w:cs="Traditional Arabic"/>
          <w:lang w:bidi="ar-EG"/>
        </w:rPr>
        <w:t>.</w:t>
      </w:r>
      <w:r w:rsidR="00FB14E1" w:rsidRPr="00D61CE5">
        <w:rPr>
          <w:rStyle w:val="FootnoteReference"/>
          <w:rFonts w:ascii="Garamond" w:hAnsi="Garamond"/>
          <w:rtl/>
        </w:rPr>
        <w:footnoteReference w:id="35"/>
      </w:r>
      <w:bookmarkStart w:id="4" w:name="_Toc190151703"/>
    </w:p>
    <w:p w:rsidR="00FB14E1" w:rsidRPr="00205BEB" w:rsidRDefault="00FB14E1" w:rsidP="00205BEB">
      <w:pPr>
        <w:pStyle w:val="ListParagraph"/>
        <w:numPr>
          <w:ilvl w:val="0"/>
          <w:numId w:val="1"/>
        </w:numPr>
        <w:jc w:val="both"/>
        <w:rPr>
          <w:rFonts w:ascii="Garamond" w:hAnsi="Garamond" w:cs="Traditional Arabic"/>
          <w:b/>
          <w:bCs/>
          <w:sz w:val="36"/>
          <w:szCs w:val="36"/>
          <w:lang w:bidi="ar-EG"/>
        </w:rPr>
      </w:pPr>
      <w:r w:rsidRPr="00205BEB">
        <w:rPr>
          <w:rFonts w:ascii="Garamond" w:hAnsi="Garamond" w:cstheme="majorBidi"/>
          <w:b/>
          <w:bCs/>
        </w:rPr>
        <w:t>Ethnographic Research</w:t>
      </w:r>
      <w:bookmarkEnd w:id="4"/>
    </w:p>
    <w:p w:rsidR="00FB14E1" w:rsidRPr="00A1029A" w:rsidRDefault="00FF317A" w:rsidP="00A1029A">
      <w:pPr>
        <w:ind w:left="14" w:firstLine="706"/>
        <w:jc w:val="both"/>
        <w:rPr>
          <w:rFonts w:ascii="Garamond" w:hAnsi="Garamond" w:cs="Traditional Arabic"/>
          <w:rtl/>
          <w:lang w:bidi="ar-EG"/>
        </w:rPr>
      </w:pPr>
      <w:r w:rsidRPr="00A1029A">
        <w:rPr>
          <w:rFonts w:ascii="Garamond" w:hAnsi="Garamond" w:cs="Traditional Arabic"/>
          <w:lang w:bidi="ar-EG"/>
        </w:rPr>
        <w:t>Ethnography is a qualitative design in which researchers describe and analyze the shared and acquired patterns of values, behaviors, customs, beliefs, and language of a culturally shared community. As a research process and result, ethnography is a method of studying a culturally shared community</w:t>
      </w:r>
      <w:r w:rsidR="00A1029A" w:rsidRPr="00A1029A">
        <w:rPr>
          <w:rFonts w:ascii="Garamond" w:hAnsi="Garamond" w:cs="Traditional Arabic"/>
          <w:lang w:bidi="ar-EG"/>
        </w:rPr>
        <w:t>.</w:t>
      </w:r>
      <w:r w:rsidR="00FB14E1" w:rsidRPr="00A1029A">
        <w:rPr>
          <w:rStyle w:val="FootnoteReference"/>
          <w:rFonts w:ascii="Garamond" w:hAnsi="Garamond"/>
          <w:rtl/>
        </w:rPr>
        <w:footnoteReference w:id="36"/>
      </w:r>
      <w:r w:rsidR="00FB14E1" w:rsidRPr="00A1029A">
        <w:rPr>
          <w:rFonts w:ascii="Garamond" w:hAnsi="Garamond" w:cs="Traditional Arabic"/>
          <w:rtl/>
          <w:lang w:bidi="ar-EG"/>
        </w:rPr>
        <w:t xml:space="preserve"> </w:t>
      </w:r>
      <w:r w:rsidR="00A1029A" w:rsidRPr="00A1029A">
        <w:rPr>
          <w:rFonts w:ascii="Garamond" w:hAnsi="Garamond" w:cs="Traditional Arabic"/>
          <w:lang w:bidi="ar-EG"/>
        </w:rPr>
        <w:t xml:space="preserve"> The ethnography study involves extended observation of the community, often through participant observation, where the researcher immerses themselves in the daily life of the people and observes and interviews members of the community. Ethnographers study the meaning of behavior, language, and interaction among members of the community who share the culture.</w:t>
      </w:r>
      <w:r w:rsidR="00FB14E1" w:rsidRPr="00A1029A">
        <w:rPr>
          <w:rStyle w:val="FootnoteReference"/>
          <w:rFonts w:ascii="Garamond" w:hAnsi="Garamond"/>
          <w:rtl/>
        </w:rPr>
        <w:footnoteReference w:id="37"/>
      </w:r>
      <w:r w:rsidR="00A1029A" w:rsidRPr="00A1029A">
        <w:rPr>
          <w:rFonts w:ascii="Garamond" w:hAnsi="Garamond" w:cs="Traditional Arabic"/>
          <w:lang w:bidi="ar-EG"/>
        </w:rPr>
        <w:t xml:space="preserve"> Therefore, ethnography studies focus on the cultural behavior of social communities and observe how daily life is practiced by the community that is the subject of the study. The role of the ethnographic researcher is similar to that of the investigative researcher, but the ethnographic researcher records and writes about the daily life of a community over a period of time.</w:t>
      </w:r>
    </w:p>
    <w:p w:rsidR="00FB14E1" w:rsidRPr="00A1029A" w:rsidRDefault="00A1029A" w:rsidP="00A1029A">
      <w:pPr>
        <w:ind w:left="14" w:firstLine="706"/>
        <w:jc w:val="both"/>
        <w:rPr>
          <w:rFonts w:ascii="Garamond" w:hAnsi="Garamond" w:cs="Traditional Arabic"/>
          <w:lang w:bidi="ar-EG"/>
        </w:rPr>
      </w:pPr>
      <w:r w:rsidRPr="00A1029A">
        <w:rPr>
          <w:rFonts w:ascii="Garamond" w:hAnsi="Garamond" w:cs="Traditional Arabic"/>
          <w:lang w:bidi="ar-EG"/>
        </w:rPr>
        <w:lastRenderedPageBreak/>
        <w:t xml:space="preserve">However, the problem using the ethnographic approach is that it can be biased, which can affect the results of the study. Researchers have unconscious biases and assumptions that can influence how they collect and analyze data. In this case, the ethnographic research method was originally used by colonizers to research their colonies, as did </w:t>
      </w:r>
      <w:proofErr w:type="spellStart"/>
      <w:r w:rsidRPr="00A1029A">
        <w:rPr>
          <w:rFonts w:ascii="Garamond" w:hAnsi="Garamond" w:cs="Traditional Arabic"/>
          <w:lang w:bidi="ar-EG"/>
        </w:rPr>
        <w:t>Snouck</w:t>
      </w:r>
      <w:proofErr w:type="spellEnd"/>
      <w:r w:rsidRPr="00A1029A">
        <w:rPr>
          <w:rFonts w:ascii="Garamond" w:hAnsi="Garamond" w:cs="Traditional Arabic"/>
          <w:lang w:bidi="ar-EG"/>
        </w:rPr>
        <w:t xml:space="preserve"> </w:t>
      </w:r>
      <w:proofErr w:type="spellStart"/>
      <w:r w:rsidRPr="00A1029A">
        <w:rPr>
          <w:rFonts w:ascii="Garamond" w:hAnsi="Garamond" w:cs="Traditional Arabic"/>
          <w:lang w:bidi="ar-EG"/>
        </w:rPr>
        <w:t>Hurgronje</w:t>
      </w:r>
      <w:proofErr w:type="spellEnd"/>
      <w:r w:rsidRPr="00A1029A">
        <w:rPr>
          <w:rFonts w:ascii="Garamond" w:hAnsi="Garamond" w:cs="Traditional Arabic"/>
          <w:lang w:bidi="ar-EG"/>
        </w:rPr>
        <w:t xml:space="preserve"> in the Indonesian context and Sir William Muir in India. The aim of their ethnographic research was to provide political material suitable for application by the colonizers, as they were socially and culturally different from the colonized region</w:t>
      </w:r>
      <w:r w:rsidRPr="00A1029A">
        <w:rPr>
          <w:rFonts w:ascii="Garamond" w:hAnsi="Garamond" w:cs="Traditional Arabic"/>
          <w:rtl/>
          <w:lang w:bidi="ar-EG"/>
        </w:rPr>
        <w:t>.</w:t>
      </w:r>
      <w:bookmarkStart w:id="5" w:name="_Toc190151704"/>
    </w:p>
    <w:p w:rsidR="00FB14E1" w:rsidRPr="00A1029A" w:rsidRDefault="00FB14E1" w:rsidP="00A1029A">
      <w:pPr>
        <w:pStyle w:val="ListParagraph"/>
        <w:numPr>
          <w:ilvl w:val="0"/>
          <w:numId w:val="1"/>
        </w:numPr>
        <w:jc w:val="both"/>
        <w:rPr>
          <w:rFonts w:ascii="Garamond" w:hAnsi="Garamond" w:cs="Traditional Arabic"/>
          <w:b/>
          <w:bCs/>
          <w:sz w:val="36"/>
          <w:szCs w:val="36"/>
          <w:lang w:bidi="ar-EG"/>
        </w:rPr>
      </w:pPr>
      <w:r w:rsidRPr="00A1029A">
        <w:rPr>
          <w:rFonts w:ascii="Garamond" w:hAnsi="Garamond" w:cstheme="majorBidi"/>
          <w:b/>
          <w:bCs/>
        </w:rPr>
        <w:t>Sociological Approach</w:t>
      </w:r>
      <w:r w:rsidR="00A1029A" w:rsidRPr="00A1029A">
        <w:rPr>
          <w:rFonts w:ascii="Garamond" w:hAnsi="Garamond" w:cstheme="majorBidi"/>
          <w:b/>
          <w:bCs/>
        </w:rPr>
        <w:t xml:space="preserve"> and </w:t>
      </w:r>
      <w:r w:rsidRPr="00A1029A">
        <w:rPr>
          <w:rFonts w:ascii="Garamond" w:hAnsi="Garamond" w:cstheme="majorBidi"/>
          <w:b/>
          <w:bCs/>
        </w:rPr>
        <w:t>Social History Approach</w:t>
      </w:r>
      <w:bookmarkEnd w:id="5"/>
    </w:p>
    <w:p w:rsidR="00FB14E1" w:rsidRPr="00C652EC" w:rsidRDefault="00C652EC" w:rsidP="005C31FD">
      <w:pPr>
        <w:ind w:left="14" w:firstLine="706"/>
        <w:jc w:val="both"/>
        <w:rPr>
          <w:rFonts w:ascii="Garamond" w:hAnsi="Garamond" w:cs="Traditional Arabic"/>
          <w:rtl/>
          <w:lang w:bidi="ar-EG"/>
        </w:rPr>
      </w:pPr>
      <w:r w:rsidRPr="00C652EC">
        <w:rPr>
          <w:rFonts w:ascii="Garamond" w:hAnsi="Garamond" w:cs="Traditional Arabic"/>
          <w:lang w:bidi="ar-EG"/>
        </w:rPr>
        <w:t>Sociology is the study of humans and their culture. It is a systematic study of the development, structure, relationships, and attitudes of organized human communities. Sociology is the study of society. It paves the way for scientists, social thinkers, and activists to understand society. It in addition helps improve the quality of life for people living in society</w:t>
      </w:r>
      <w:r>
        <w:rPr>
          <w:rFonts w:ascii="Garamond" w:hAnsi="Garamond" w:cs="Traditional Arabic"/>
          <w:lang w:bidi="ar-EG"/>
        </w:rPr>
        <w:t>.</w:t>
      </w:r>
      <w:r w:rsidR="00FB14E1" w:rsidRPr="00C652EC">
        <w:rPr>
          <w:rStyle w:val="FootnoteReference"/>
          <w:rFonts w:ascii="Garamond" w:hAnsi="Garamond"/>
          <w:rtl/>
        </w:rPr>
        <w:footnoteReference w:id="38"/>
      </w:r>
      <w:r w:rsidR="00FB14E1" w:rsidRPr="00C652EC">
        <w:rPr>
          <w:rFonts w:ascii="Garamond" w:hAnsi="Garamond" w:cs="Traditional Arabic"/>
          <w:rtl/>
          <w:lang w:bidi="ar-EG"/>
        </w:rPr>
        <w:t xml:space="preserve"> </w:t>
      </w:r>
      <w:r w:rsidRPr="00C652EC">
        <w:rPr>
          <w:rFonts w:ascii="Garamond" w:hAnsi="Garamond" w:cs="Traditional Arabic"/>
          <w:lang w:bidi="ar-EG"/>
        </w:rPr>
        <w:t xml:space="preserve">It is recognized that sociology is a discipline that originated and developed in the 19th century against the backdrop of the accelerating industrial revolution. It can also be described as a secular or atheistic discipline. However, </w:t>
      </w:r>
      <w:proofErr w:type="spellStart"/>
      <w:r w:rsidRPr="00C652EC">
        <w:rPr>
          <w:rFonts w:ascii="Garamond" w:hAnsi="Garamond" w:cs="Traditional Arabic"/>
          <w:lang w:bidi="ar-EG"/>
        </w:rPr>
        <w:t>Émile</w:t>
      </w:r>
      <w:proofErr w:type="spellEnd"/>
      <w:r w:rsidRPr="00C652EC">
        <w:rPr>
          <w:rFonts w:ascii="Garamond" w:hAnsi="Garamond" w:cs="Traditional Arabic"/>
          <w:lang w:bidi="ar-EG"/>
        </w:rPr>
        <w:t xml:space="preserve"> Durkheim (1858-1917), one of the prominent founding fathers of this science, along with Max Weber (1864-1920) and Karl Marx (1818-1983), gave the study of religion a place of paramount importance in his attempt to explore social phenomena scientifically</w:t>
      </w:r>
      <w:r>
        <w:rPr>
          <w:rFonts w:ascii="Garamond" w:hAnsi="Garamond" w:cs="Traditional Arabic"/>
          <w:lang w:bidi="ar-EG"/>
        </w:rPr>
        <w:t>.</w:t>
      </w:r>
      <w:r w:rsidR="00FB14E1" w:rsidRPr="00C652EC">
        <w:rPr>
          <w:rStyle w:val="FootnoteReference"/>
          <w:rFonts w:ascii="Garamond" w:hAnsi="Garamond"/>
          <w:rtl/>
        </w:rPr>
        <w:footnoteReference w:id="39"/>
      </w:r>
    </w:p>
    <w:p w:rsidR="00FB14E1" w:rsidRPr="00C652EC" w:rsidRDefault="00C652EC" w:rsidP="00C652EC">
      <w:pPr>
        <w:ind w:left="14" w:firstLine="706"/>
        <w:jc w:val="both"/>
        <w:rPr>
          <w:rFonts w:ascii="Garamond" w:hAnsi="Garamond" w:cs="Traditional Arabic"/>
          <w:lang w:bidi="ar-EG"/>
        </w:rPr>
      </w:pPr>
      <w:r w:rsidRPr="00C652EC">
        <w:rPr>
          <w:rFonts w:ascii="Garamond" w:hAnsi="Garamond" w:cs="Traditional Arabic"/>
          <w:lang w:bidi="ar-EG"/>
        </w:rPr>
        <w:t>Social history is the study of the development of social structures in a particular society or geographical region, and is considered a branch of social science</w:t>
      </w:r>
      <w:r>
        <w:rPr>
          <w:rFonts w:ascii="Garamond" w:hAnsi="Garamond" w:cs="Traditional Arabic"/>
          <w:lang w:bidi="ar-EG"/>
        </w:rPr>
        <w:t>.</w:t>
      </w:r>
      <w:r w:rsidR="00FB14E1" w:rsidRPr="00C652EC">
        <w:rPr>
          <w:rStyle w:val="FootnoteReference"/>
          <w:rFonts w:ascii="Garamond" w:hAnsi="Garamond"/>
          <w:rtl/>
        </w:rPr>
        <w:footnoteReference w:id="40"/>
      </w:r>
      <w:r w:rsidR="00FB14E1" w:rsidRPr="00C652EC">
        <w:rPr>
          <w:rFonts w:ascii="Garamond" w:hAnsi="Garamond" w:cs="Traditional Arabic"/>
          <w:rtl/>
          <w:lang w:bidi="ar-EG"/>
        </w:rPr>
        <w:t xml:space="preserve"> </w:t>
      </w:r>
      <w:r w:rsidRPr="00C652EC">
        <w:rPr>
          <w:rFonts w:ascii="Garamond" w:hAnsi="Garamond" w:cs="Traditional Arabic"/>
          <w:lang w:bidi="ar-EG"/>
        </w:rPr>
        <w:t xml:space="preserve">Social history aims to comprehensively review the history of social formations and organizations, including economic, legal, and civil aspects. It is characterized by a focus on the daily lives of people and human communities, rather than on politicians and leaders. The aim of this type of social history research, as mentioned by </w:t>
      </w:r>
      <w:proofErr w:type="spellStart"/>
      <w:r w:rsidRPr="00C652EC">
        <w:rPr>
          <w:rFonts w:ascii="Garamond" w:hAnsi="Garamond" w:cs="Traditional Arabic"/>
          <w:lang w:bidi="ar-EG"/>
        </w:rPr>
        <w:t>Saifuddin</w:t>
      </w:r>
      <w:proofErr w:type="spellEnd"/>
      <w:r w:rsidRPr="00C652EC">
        <w:rPr>
          <w:rFonts w:ascii="Garamond" w:hAnsi="Garamond" w:cs="Traditional Arabic"/>
          <w:lang w:bidi="ar-EG"/>
        </w:rPr>
        <w:t xml:space="preserve"> </w:t>
      </w:r>
      <w:proofErr w:type="spellStart"/>
      <w:r w:rsidRPr="00C652EC">
        <w:rPr>
          <w:rFonts w:ascii="Garamond" w:hAnsi="Garamond" w:cs="Traditional Arabic"/>
          <w:lang w:bidi="ar-EG"/>
        </w:rPr>
        <w:t>Zuhri</w:t>
      </w:r>
      <w:proofErr w:type="spellEnd"/>
      <w:r w:rsidRPr="00C652EC">
        <w:rPr>
          <w:rFonts w:ascii="Garamond" w:hAnsi="Garamond" w:cs="Traditional Arabic"/>
          <w:lang w:bidi="ar-EG"/>
        </w:rPr>
        <w:t>, is to understand the history of the influence between economics, politics, and culture. In addition, social history also includes a trend toward placing economic, intellectual, or political events in their historical context</w:t>
      </w:r>
      <w:r>
        <w:rPr>
          <w:rFonts w:ascii="Garamond" w:hAnsi="Garamond" w:cs="Traditional Arabic"/>
          <w:lang w:bidi="ar-EG"/>
        </w:rPr>
        <w:t>.</w:t>
      </w:r>
      <w:r w:rsidR="00FB14E1" w:rsidRPr="00C652EC">
        <w:rPr>
          <w:rStyle w:val="FootnoteReference"/>
          <w:rFonts w:ascii="Garamond" w:hAnsi="Garamond"/>
          <w:rtl/>
        </w:rPr>
        <w:footnoteReference w:id="41"/>
      </w:r>
    </w:p>
    <w:p w:rsidR="00FB14E1" w:rsidRDefault="00013BBC" w:rsidP="005C31FD">
      <w:pPr>
        <w:ind w:left="14" w:firstLine="706"/>
        <w:jc w:val="both"/>
        <w:rPr>
          <w:rFonts w:ascii="Garamond" w:hAnsi="Garamond" w:cs="Traditional Arabic"/>
          <w:lang w:bidi="ar-EG"/>
        </w:rPr>
      </w:pPr>
      <w:r w:rsidRPr="00013BBC">
        <w:rPr>
          <w:rFonts w:ascii="Garamond" w:hAnsi="Garamond" w:cs="Traditional Arabic"/>
          <w:lang w:bidi="ar-EG"/>
        </w:rPr>
        <w:t xml:space="preserve">Therefore, the sociological approach in the study of “Living Hadith” sometimes looks at social phenomena and concludes that society is changing because of these phenomena. As </w:t>
      </w:r>
      <w:proofErr w:type="spellStart"/>
      <w:r w:rsidRPr="00013BBC">
        <w:rPr>
          <w:rFonts w:ascii="Garamond" w:hAnsi="Garamond" w:cs="Traditional Arabic"/>
          <w:lang w:bidi="ar-EG"/>
        </w:rPr>
        <w:t>Saifuddin</w:t>
      </w:r>
      <w:proofErr w:type="spellEnd"/>
      <w:r w:rsidRPr="00013BBC">
        <w:rPr>
          <w:rFonts w:ascii="Garamond" w:hAnsi="Garamond" w:cs="Traditional Arabic"/>
          <w:lang w:bidi="ar-EG"/>
        </w:rPr>
        <w:t xml:space="preserve"> </w:t>
      </w:r>
      <w:proofErr w:type="spellStart"/>
      <w:r w:rsidRPr="00013BBC">
        <w:rPr>
          <w:rFonts w:ascii="Garamond" w:hAnsi="Garamond" w:cs="Traditional Arabic"/>
          <w:lang w:bidi="ar-EG"/>
        </w:rPr>
        <w:t>Zahri</w:t>
      </w:r>
      <w:proofErr w:type="spellEnd"/>
      <w:r w:rsidRPr="00013BBC">
        <w:rPr>
          <w:rFonts w:ascii="Garamond" w:hAnsi="Garamond" w:cs="Traditional Arabic"/>
          <w:lang w:bidi="ar-EG"/>
        </w:rPr>
        <w:t xml:space="preserve"> mentioned, he gave an example of this by saying that people go to the mosque to pray in congregation in order to obtain guidance, and for this reason, people are interested in praying in the mosque. The assumption is that social changes in society are the basis of this study</w:t>
      </w:r>
      <w:r>
        <w:rPr>
          <w:rFonts w:ascii="Garamond" w:hAnsi="Garamond" w:cs="Traditional Arabic"/>
          <w:lang w:bidi="ar-EG"/>
        </w:rPr>
        <w:t>.</w:t>
      </w:r>
      <w:r w:rsidR="00FB14E1" w:rsidRPr="00013BBC">
        <w:rPr>
          <w:rStyle w:val="FootnoteReference"/>
          <w:rFonts w:ascii="Garamond" w:hAnsi="Garamond"/>
          <w:rtl/>
        </w:rPr>
        <w:footnoteReference w:id="42"/>
      </w:r>
      <w:r w:rsidR="00FB14E1" w:rsidRPr="00013BBC">
        <w:rPr>
          <w:rFonts w:ascii="Garamond" w:hAnsi="Garamond" w:cs="Traditional Arabic"/>
          <w:rtl/>
          <w:lang w:bidi="ar-EG"/>
        </w:rPr>
        <w:t xml:space="preserve"> </w:t>
      </w:r>
      <w:r w:rsidRPr="00013BBC">
        <w:rPr>
          <w:rFonts w:ascii="Garamond" w:hAnsi="Garamond" w:cs="Traditional Arabic"/>
          <w:lang w:bidi="ar-EG"/>
        </w:rPr>
        <w:t>However, according to Western sociology, society's intention is considered to be a desire to obtain money or other things. If this Western approach were true, it would mean that every human being intends only to obtain financial gain. In reality, this is not the case, because many people who come to the mosque for the sake of Allah do not have materialistic intentions, as some people claim</w:t>
      </w:r>
      <w:r w:rsidR="00FB14E1" w:rsidRPr="00013BBC">
        <w:rPr>
          <w:rFonts w:ascii="Garamond" w:hAnsi="Garamond" w:cs="Traditional Arabic"/>
          <w:rtl/>
          <w:lang w:bidi="ar-EG"/>
        </w:rPr>
        <w:t>.</w:t>
      </w:r>
      <w:bookmarkStart w:id="6" w:name="_Toc190122163"/>
      <w:bookmarkStart w:id="7" w:name="_Toc190151705"/>
    </w:p>
    <w:p w:rsidR="005C31FD" w:rsidRPr="005C31FD" w:rsidRDefault="005C31FD" w:rsidP="005C31FD">
      <w:pPr>
        <w:ind w:left="14" w:firstLine="706"/>
        <w:jc w:val="both"/>
        <w:rPr>
          <w:rFonts w:ascii="Garamond" w:hAnsi="Garamond" w:cs="Traditional Arabic"/>
          <w:lang w:bidi="ar-EG"/>
        </w:rPr>
      </w:pPr>
    </w:p>
    <w:bookmarkEnd w:id="6"/>
    <w:bookmarkEnd w:id="7"/>
    <w:p w:rsidR="00FB0005" w:rsidRDefault="00013BBC" w:rsidP="00FB0005">
      <w:pPr>
        <w:jc w:val="both"/>
        <w:rPr>
          <w:rFonts w:ascii="Garamond" w:hAnsi="Garamond" w:cs="Traditional Arabic"/>
          <w:b/>
          <w:bCs/>
          <w:lang w:bidi="ar-EG"/>
        </w:rPr>
      </w:pPr>
      <w:r w:rsidRPr="00013BBC">
        <w:rPr>
          <w:rFonts w:ascii="Garamond" w:hAnsi="Garamond" w:cs="Traditional Arabic"/>
          <w:b/>
          <w:bCs/>
          <w:lang w:bidi="ar-EG"/>
        </w:rPr>
        <w:t xml:space="preserve">Several Studies </w:t>
      </w:r>
      <w:r>
        <w:rPr>
          <w:rFonts w:ascii="Garamond" w:hAnsi="Garamond" w:cs="Traditional Arabic"/>
          <w:b/>
          <w:bCs/>
          <w:lang w:bidi="ar-EG"/>
        </w:rPr>
        <w:t>o</w:t>
      </w:r>
      <w:r w:rsidRPr="00013BBC">
        <w:rPr>
          <w:rFonts w:ascii="Garamond" w:hAnsi="Garamond" w:cs="Traditional Arabic"/>
          <w:b/>
          <w:bCs/>
          <w:lang w:bidi="ar-EG"/>
        </w:rPr>
        <w:t xml:space="preserve">n Living Hadith </w:t>
      </w:r>
      <w:r>
        <w:rPr>
          <w:rFonts w:ascii="Garamond" w:hAnsi="Garamond" w:cs="Traditional Arabic"/>
          <w:b/>
          <w:bCs/>
          <w:lang w:bidi="ar-EG"/>
        </w:rPr>
        <w:t>i</w:t>
      </w:r>
      <w:r w:rsidRPr="00013BBC">
        <w:rPr>
          <w:rFonts w:ascii="Garamond" w:hAnsi="Garamond" w:cs="Traditional Arabic"/>
          <w:b/>
          <w:bCs/>
          <w:lang w:bidi="ar-EG"/>
        </w:rPr>
        <w:t>n Indonesia</w:t>
      </w:r>
    </w:p>
    <w:p w:rsidR="00FB0005" w:rsidRDefault="00782E4E" w:rsidP="00E528FB">
      <w:pPr>
        <w:jc w:val="both"/>
        <w:rPr>
          <w:rFonts w:ascii="Garamond" w:hAnsi="Garamond" w:cs="Traditional Arabic"/>
          <w:lang w:bidi="ar-EG"/>
        </w:rPr>
      </w:pPr>
      <w:r w:rsidRPr="00782E4E">
        <w:rPr>
          <w:rFonts w:ascii="Garamond" w:hAnsi="Garamond" w:cs="Traditional Arabic"/>
          <w:lang w:bidi="ar-EG"/>
        </w:rPr>
        <w:t xml:space="preserve">Using the repository of the State Islamic University of </w:t>
      </w:r>
      <w:proofErr w:type="spellStart"/>
      <w:r w:rsidRPr="00782E4E">
        <w:rPr>
          <w:rFonts w:ascii="Garamond" w:hAnsi="Garamond" w:cs="Traditional Arabic"/>
          <w:lang w:bidi="ar-EG"/>
        </w:rPr>
        <w:t>Sunan</w:t>
      </w:r>
      <w:proofErr w:type="spellEnd"/>
      <w:r w:rsidRPr="00782E4E">
        <w:rPr>
          <w:rFonts w:ascii="Garamond" w:hAnsi="Garamond" w:cs="Traditional Arabic"/>
          <w:lang w:bidi="ar-EG"/>
        </w:rPr>
        <w:t xml:space="preserve"> </w:t>
      </w:r>
      <w:proofErr w:type="spellStart"/>
      <w:r w:rsidRPr="00782E4E">
        <w:rPr>
          <w:rFonts w:ascii="Garamond" w:hAnsi="Garamond" w:cs="Traditional Arabic"/>
          <w:lang w:bidi="ar-EG"/>
        </w:rPr>
        <w:t>Kalijaga</w:t>
      </w:r>
      <w:proofErr w:type="spellEnd"/>
      <w:r w:rsidRPr="00782E4E">
        <w:rPr>
          <w:rFonts w:ascii="Garamond" w:hAnsi="Garamond" w:cs="Traditional Arabic"/>
          <w:lang w:bidi="ar-EG"/>
        </w:rPr>
        <w:t xml:space="preserve"> Yogyakarta, where the topic of “L</w:t>
      </w:r>
      <w:r w:rsidR="00366D0D">
        <w:rPr>
          <w:rFonts w:ascii="Garamond" w:hAnsi="Garamond" w:cs="Traditional Arabic"/>
          <w:lang w:bidi="ar-EG"/>
        </w:rPr>
        <w:t xml:space="preserve">iving Hadith” first originated, </w:t>
      </w:r>
      <w:proofErr w:type="gramStart"/>
      <w:r w:rsidRPr="00782E4E">
        <w:rPr>
          <w:rFonts w:ascii="Garamond" w:hAnsi="Garamond" w:cs="Traditional Arabic"/>
          <w:lang w:bidi="ar-EG"/>
        </w:rPr>
        <w:t>the</w:t>
      </w:r>
      <w:proofErr w:type="gramEnd"/>
      <w:r w:rsidRPr="00782E4E">
        <w:rPr>
          <w:rFonts w:ascii="Garamond" w:hAnsi="Garamond" w:cs="Traditional Arabic"/>
          <w:lang w:bidi="ar-EG"/>
        </w:rPr>
        <w:t xml:space="preserve"> researcher found a collection of 3</w:t>
      </w:r>
      <w:r w:rsidR="00E528FB">
        <w:rPr>
          <w:rFonts w:ascii="Garamond" w:hAnsi="Garamond" w:cs="Traditional Arabic"/>
          <w:lang w:bidi="ar-EG"/>
        </w:rPr>
        <w:t>8</w:t>
      </w:r>
      <w:r w:rsidRPr="00782E4E">
        <w:rPr>
          <w:rFonts w:ascii="Garamond" w:hAnsi="Garamond" w:cs="Traditional Arabic"/>
          <w:lang w:bidi="ar-EG"/>
        </w:rPr>
        <w:t xml:space="preserve"> academic </w:t>
      </w:r>
      <w:r w:rsidRPr="00782E4E">
        <w:rPr>
          <w:rFonts w:ascii="Garamond" w:hAnsi="Garamond" w:cs="Traditional Arabic"/>
          <w:lang w:bidi="ar-EG"/>
        </w:rPr>
        <w:lastRenderedPageBreak/>
        <w:t xml:space="preserve">theses, including bachelor’s, master’s, and doctoral level theses. However, most of them were bachelor’s degree theses. Since 2013, one of the theses that began to appear was written by </w:t>
      </w:r>
      <w:proofErr w:type="spellStart"/>
      <w:r w:rsidRPr="00782E4E">
        <w:rPr>
          <w:rFonts w:ascii="Garamond" w:hAnsi="Garamond" w:cs="Traditional Arabic"/>
          <w:lang w:bidi="ar-EG"/>
        </w:rPr>
        <w:t>Muldah</w:t>
      </w:r>
      <w:proofErr w:type="spellEnd"/>
      <w:r w:rsidRPr="00782E4E">
        <w:rPr>
          <w:rFonts w:ascii="Garamond" w:hAnsi="Garamond" w:cs="Traditional Arabic"/>
          <w:lang w:bidi="ar-EG"/>
        </w:rPr>
        <w:t xml:space="preserve"> </w:t>
      </w:r>
      <w:proofErr w:type="spellStart"/>
      <w:r w:rsidRPr="00782E4E">
        <w:rPr>
          <w:rFonts w:ascii="Garamond" w:hAnsi="Garamond" w:cs="Traditional Arabic"/>
          <w:lang w:bidi="ar-EG"/>
        </w:rPr>
        <w:t>Hamtun</w:t>
      </w:r>
      <w:proofErr w:type="spellEnd"/>
      <w:r w:rsidRPr="00782E4E">
        <w:rPr>
          <w:rFonts w:ascii="Garamond" w:hAnsi="Garamond" w:cs="Traditional Arabic"/>
          <w:lang w:bidi="ar-EG"/>
        </w:rPr>
        <w:t xml:space="preserve"> </w:t>
      </w:r>
      <w:proofErr w:type="spellStart"/>
      <w:r w:rsidRPr="00782E4E">
        <w:rPr>
          <w:rFonts w:ascii="Garamond" w:hAnsi="Garamond" w:cs="Traditional Arabic"/>
          <w:lang w:bidi="ar-EG"/>
        </w:rPr>
        <w:t>Najih</w:t>
      </w:r>
      <w:proofErr w:type="spellEnd"/>
      <w:r w:rsidRPr="00782E4E">
        <w:rPr>
          <w:rFonts w:ascii="Garamond" w:hAnsi="Garamond" w:cs="Traditional Arabic"/>
          <w:lang w:bidi="ar-EG"/>
        </w:rPr>
        <w:t>, entitled</w:t>
      </w:r>
      <w:r w:rsidR="00CB6862">
        <w:rPr>
          <w:rFonts w:ascii="Garamond" w:hAnsi="Garamond" w:cs="Traditional Arabic"/>
          <w:lang w:bidi="ar-EG"/>
        </w:rPr>
        <w:t>: “</w:t>
      </w:r>
      <w:proofErr w:type="spellStart"/>
      <w:r w:rsidR="00CB6862">
        <w:rPr>
          <w:rFonts w:ascii="Garamond" w:hAnsi="Garamond" w:cstheme="majorBidi"/>
          <w:i/>
          <w:iCs/>
          <w:lang w:bidi="ar-EG"/>
        </w:rPr>
        <w:t>Pemahaman</w:t>
      </w:r>
      <w:proofErr w:type="spellEnd"/>
      <w:r w:rsidR="00CB6862">
        <w:rPr>
          <w:rFonts w:ascii="Garamond" w:hAnsi="Garamond" w:cstheme="majorBidi"/>
          <w:i/>
          <w:iCs/>
          <w:lang w:bidi="ar-EG"/>
        </w:rPr>
        <w:t xml:space="preserve"> </w:t>
      </w:r>
      <w:proofErr w:type="spellStart"/>
      <w:r w:rsidR="00CB6862">
        <w:rPr>
          <w:rFonts w:ascii="Garamond" w:hAnsi="Garamond" w:cstheme="majorBidi"/>
          <w:i/>
          <w:iCs/>
          <w:lang w:bidi="ar-EG"/>
        </w:rPr>
        <w:t>dan</w:t>
      </w:r>
      <w:proofErr w:type="spellEnd"/>
      <w:r w:rsidR="00CB6862">
        <w:rPr>
          <w:rFonts w:ascii="Garamond" w:hAnsi="Garamond" w:cstheme="majorBidi"/>
          <w:i/>
          <w:iCs/>
          <w:lang w:bidi="ar-EG"/>
        </w:rPr>
        <w:t xml:space="preserve"> </w:t>
      </w:r>
      <w:proofErr w:type="spellStart"/>
      <w:r w:rsidR="00CB6862">
        <w:rPr>
          <w:rFonts w:ascii="Garamond" w:hAnsi="Garamond" w:cstheme="majorBidi"/>
          <w:i/>
          <w:iCs/>
          <w:lang w:bidi="ar-EG"/>
        </w:rPr>
        <w:t>Praktik</w:t>
      </w:r>
      <w:proofErr w:type="spellEnd"/>
      <w:r w:rsidR="00CB6862">
        <w:rPr>
          <w:rFonts w:ascii="Garamond" w:hAnsi="Garamond" w:cstheme="majorBidi"/>
          <w:i/>
          <w:iCs/>
          <w:lang w:bidi="ar-EG"/>
        </w:rPr>
        <w:t xml:space="preserve"> </w:t>
      </w:r>
      <w:proofErr w:type="spellStart"/>
      <w:r w:rsidR="00CB6862">
        <w:rPr>
          <w:rFonts w:ascii="Garamond" w:hAnsi="Garamond" w:cstheme="majorBidi"/>
          <w:i/>
          <w:iCs/>
          <w:lang w:bidi="ar-EG"/>
        </w:rPr>
        <w:t>Hadis</w:t>
      </w:r>
      <w:proofErr w:type="spellEnd"/>
      <w:r w:rsidR="00CB6862">
        <w:rPr>
          <w:rFonts w:ascii="Garamond" w:hAnsi="Garamond" w:cstheme="majorBidi"/>
          <w:i/>
          <w:iCs/>
          <w:lang w:bidi="ar-EG"/>
        </w:rPr>
        <w:t xml:space="preserve"> </w:t>
      </w:r>
      <w:proofErr w:type="spellStart"/>
      <w:r w:rsidR="00CB6862">
        <w:rPr>
          <w:rFonts w:ascii="Garamond" w:hAnsi="Garamond" w:cstheme="majorBidi"/>
          <w:i/>
          <w:iCs/>
          <w:lang w:bidi="ar-EG"/>
        </w:rPr>
        <w:t>kepemimpinan</w:t>
      </w:r>
      <w:proofErr w:type="spellEnd"/>
      <w:r w:rsidR="00CB6862">
        <w:rPr>
          <w:rFonts w:ascii="Garamond" w:hAnsi="Garamond" w:cstheme="majorBidi"/>
          <w:i/>
          <w:iCs/>
          <w:lang w:bidi="ar-EG"/>
        </w:rPr>
        <w:t xml:space="preserve"> </w:t>
      </w:r>
      <w:proofErr w:type="spellStart"/>
      <w:r w:rsidR="00CB6862">
        <w:rPr>
          <w:rFonts w:ascii="Garamond" w:hAnsi="Garamond" w:cstheme="majorBidi"/>
          <w:i/>
          <w:iCs/>
          <w:lang w:bidi="ar-EG"/>
        </w:rPr>
        <w:t>Perempua</w:t>
      </w:r>
      <w:proofErr w:type="spellEnd"/>
      <w:r w:rsidR="00CB6862">
        <w:rPr>
          <w:rFonts w:ascii="Garamond" w:hAnsi="Garamond" w:cstheme="majorBidi"/>
          <w:i/>
          <w:iCs/>
          <w:lang w:bidi="ar-EG"/>
        </w:rPr>
        <w:t xml:space="preserve"> d</w:t>
      </w:r>
      <w:r w:rsidR="00FB14E1" w:rsidRPr="00782E4E">
        <w:rPr>
          <w:rFonts w:ascii="Garamond" w:hAnsi="Garamond" w:cstheme="majorBidi"/>
          <w:i/>
          <w:iCs/>
          <w:lang w:bidi="ar-EG"/>
        </w:rPr>
        <w:t xml:space="preserve">i </w:t>
      </w:r>
      <w:proofErr w:type="spellStart"/>
      <w:r w:rsidR="00FB14E1" w:rsidRPr="00782E4E">
        <w:rPr>
          <w:rFonts w:ascii="Garamond" w:hAnsi="Garamond" w:cstheme="majorBidi"/>
          <w:i/>
          <w:iCs/>
          <w:lang w:bidi="ar-EG"/>
        </w:rPr>
        <w:t>Yayasan</w:t>
      </w:r>
      <w:proofErr w:type="spellEnd"/>
      <w:r w:rsidR="00FB14E1" w:rsidRPr="00782E4E">
        <w:rPr>
          <w:rFonts w:ascii="Garamond" w:hAnsi="Garamond" w:cstheme="majorBidi"/>
          <w:i/>
          <w:iCs/>
          <w:lang w:bidi="ar-EG"/>
        </w:rPr>
        <w:t xml:space="preserve"> Ali </w:t>
      </w:r>
      <w:proofErr w:type="spellStart"/>
      <w:r w:rsidR="00FB14E1" w:rsidRPr="00782E4E">
        <w:rPr>
          <w:rFonts w:ascii="Garamond" w:hAnsi="Garamond" w:cstheme="majorBidi"/>
          <w:i/>
          <w:iCs/>
          <w:lang w:bidi="ar-EG"/>
        </w:rPr>
        <w:t>Maksum</w:t>
      </w:r>
      <w:proofErr w:type="spellEnd"/>
      <w:r w:rsidR="00FB14E1" w:rsidRPr="00782E4E">
        <w:rPr>
          <w:rFonts w:ascii="Garamond" w:hAnsi="Garamond" w:cstheme="majorBidi"/>
          <w:i/>
          <w:iCs/>
          <w:lang w:bidi="ar-EG"/>
        </w:rPr>
        <w:t xml:space="preserve"> </w:t>
      </w:r>
      <w:proofErr w:type="spellStart"/>
      <w:r w:rsidR="00FB14E1" w:rsidRPr="00782E4E">
        <w:rPr>
          <w:rFonts w:ascii="Garamond" w:hAnsi="Garamond" w:cstheme="majorBidi"/>
          <w:i/>
          <w:iCs/>
          <w:lang w:bidi="ar-EG"/>
        </w:rPr>
        <w:t>Pondok</w:t>
      </w:r>
      <w:proofErr w:type="spellEnd"/>
      <w:r w:rsidR="00FB14E1" w:rsidRPr="00782E4E">
        <w:rPr>
          <w:rFonts w:ascii="Garamond" w:hAnsi="Garamond" w:cstheme="majorBidi"/>
          <w:i/>
          <w:iCs/>
          <w:lang w:bidi="ar-EG"/>
        </w:rPr>
        <w:t xml:space="preserve"> </w:t>
      </w:r>
      <w:proofErr w:type="spellStart"/>
      <w:r w:rsidR="00FB14E1" w:rsidRPr="00782E4E">
        <w:rPr>
          <w:rFonts w:ascii="Garamond" w:hAnsi="Garamond" w:cstheme="majorBidi"/>
          <w:i/>
          <w:iCs/>
          <w:lang w:bidi="ar-EG"/>
        </w:rPr>
        <w:t>Pesantren</w:t>
      </w:r>
      <w:proofErr w:type="spellEnd"/>
      <w:r w:rsidR="00FB14E1" w:rsidRPr="00782E4E">
        <w:rPr>
          <w:rFonts w:ascii="Garamond" w:hAnsi="Garamond" w:cstheme="majorBidi"/>
          <w:i/>
          <w:iCs/>
          <w:lang w:bidi="ar-EG"/>
        </w:rPr>
        <w:t xml:space="preserve"> </w:t>
      </w:r>
      <w:proofErr w:type="spellStart"/>
      <w:r w:rsidR="00FB14E1" w:rsidRPr="00782E4E">
        <w:rPr>
          <w:rFonts w:ascii="Garamond" w:hAnsi="Garamond" w:cstheme="majorBidi"/>
          <w:i/>
          <w:iCs/>
          <w:lang w:bidi="ar-EG"/>
        </w:rPr>
        <w:t>Krapyak</w:t>
      </w:r>
      <w:proofErr w:type="spellEnd"/>
      <w:r w:rsidR="00FB14E1" w:rsidRPr="00782E4E">
        <w:rPr>
          <w:rFonts w:ascii="Garamond" w:hAnsi="Garamond" w:cstheme="majorBidi"/>
          <w:i/>
          <w:iCs/>
          <w:lang w:bidi="ar-EG"/>
        </w:rPr>
        <w:t xml:space="preserve"> Yogyakarta</w:t>
      </w:r>
      <w:r w:rsidR="00CB6862">
        <w:rPr>
          <w:rFonts w:ascii="Garamond" w:hAnsi="Garamond" w:cstheme="majorBidi"/>
          <w:i/>
          <w:iCs/>
          <w:lang w:bidi="ar-EG"/>
        </w:rPr>
        <w:t xml:space="preserve">: </w:t>
      </w:r>
      <w:proofErr w:type="spellStart"/>
      <w:r w:rsidR="00CB6862" w:rsidRPr="00782E4E">
        <w:rPr>
          <w:rFonts w:ascii="Garamond" w:hAnsi="Garamond" w:cstheme="majorBidi"/>
          <w:i/>
          <w:iCs/>
          <w:lang w:bidi="ar-EG"/>
        </w:rPr>
        <w:t>Studi</w:t>
      </w:r>
      <w:proofErr w:type="spellEnd"/>
      <w:r w:rsidR="00CB6862" w:rsidRPr="00782E4E">
        <w:rPr>
          <w:rFonts w:ascii="Garamond" w:hAnsi="Garamond" w:cstheme="majorBidi"/>
          <w:i/>
          <w:iCs/>
          <w:lang w:bidi="ar-EG"/>
        </w:rPr>
        <w:t xml:space="preserve"> Living </w:t>
      </w:r>
      <w:proofErr w:type="spellStart"/>
      <w:r w:rsidR="00CB6862" w:rsidRPr="00782E4E">
        <w:rPr>
          <w:rFonts w:ascii="Garamond" w:hAnsi="Garamond" w:cstheme="majorBidi"/>
          <w:i/>
          <w:iCs/>
          <w:lang w:bidi="ar-EG"/>
        </w:rPr>
        <w:t>Hadis</w:t>
      </w:r>
      <w:proofErr w:type="spellEnd"/>
      <w:r w:rsidR="00CB6862">
        <w:rPr>
          <w:rFonts w:ascii="Garamond" w:hAnsi="Garamond" w:cstheme="majorBidi"/>
          <w:lang w:bidi="ar-EG"/>
        </w:rPr>
        <w:t>”</w:t>
      </w:r>
      <w:r w:rsidR="00FB0005">
        <w:rPr>
          <w:rFonts w:ascii="Garamond" w:hAnsi="Garamond" w:cstheme="majorBidi"/>
          <w:lang w:bidi="ar-EG"/>
        </w:rPr>
        <w:t>,</w:t>
      </w:r>
      <w:r w:rsidR="00FB14E1" w:rsidRPr="00782E4E">
        <w:rPr>
          <w:rStyle w:val="FootnoteReference"/>
          <w:rFonts w:ascii="Garamond" w:hAnsi="Garamond"/>
          <w:rtl/>
        </w:rPr>
        <w:footnoteReference w:id="43"/>
      </w:r>
      <w:r w:rsidR="00CB6862">
        <w:rPr>
          <w:rFonts w:ascii="Garamond" w:hAnsi="Garamond" w:cstheme="majorBidi"/>
          <w:i/>
          <w:iCs/>
          <w:lang w:bidi="ar-EG"/>
        </w:rPr>
        <w:t xml:space="preserve"> </w:t>
      </w:r>
      <w:r w:rsidR="00CB6862" w:rsidRPr="00CB6862">
        <w:rPr>
          <w:rFonts w:ascii="Garamond" w:hAnsi="Garamond" w:cstheme="majorBidi"/>
          <w:lang w:bidi="ar-EG"/>
        </w:rPr>
        <w:t>“</w:t>
      </w:r>
      <w:proofErr w:type="spellStart"/>
      <w:r w:rsidR="00FB14E1" w:rsidRPr="00782E4E">
        <w:rPr>
          <w:rFonts w:ascii="Garamond" w:hAnsi="Garamond" w:cstheme="majorBidi"/>
          <w:i/>
          <w:iCs/>
          <w:lang w:bidi="ar-EG"/>
        </w:rPr>
        <w:t>Majelis</w:t>
      </w:r>
      <w:proofErr w:type="spellEnd"/>
      <w:r w:rsidR="00FB14E1" w:rsidRPr="00782E4E">
        <w:rPr>
          <w:rFonts w:ascii="Garamond" w:hAnsi="Garamond" w:cstheme="majorBidi"/>
          <w:i/>
          <w:iCs/>
          <w:lang w:bidi="ar-EG"/>
        </w:rPr>
        <w:t xml:space="preserve"> </w:t>
      </w:r>
      <w:proofErr w:type="spellStart"/>
      <w:r w:rsidR="00FB14E1" w:rsidRPr="00ED4DBE">
        <w:rPr>
          <w:rFonts w:ascii="Garamond" w:hAnsi="Garamond" w:cstheme="majorBidi"/>
          <w:i/>
          <w:iCs/>
          <w:lang w:bidi="ar-EG"/>
        </w:rPr>
        <w:t>Bukhoren</w:t>
      </w:r>
      <w:proofErr w:type="spellEnd"/>
      <w:r w:rsidR="00FB14E1" w:rsidRPr="00ED4DBE">
        <w:rPr>
          <w:rFonts w:ascii="Garamond" w:hAnsi="Garamond" w:cstheme="majorBidi"/>
          <w:i/>
          <w:iCs/>
          <w:lang w:bidi="ar-EG"/>
        </w:rPr>
        <w:t xml:space="preserve"> </w:t>
      </w:r>
      <w:r w:rsidR="00035515">
        <w:rPr>
          <w:rFonts w:ascii="Garamond" w:hAnsi="Garamond" w:cstheme="majorBidi"/>
          <w:i/>
          <w:iCs/>
          <w:lang w:bidi="ar-EG"/>
        </w:rPr>
        <w:t>d</w:t>
      </w:r>
      <w:r w:rsidR="00FB14E1" w:rsidRPr="00ED4DBE">
        <w:rPr>
          <w:rFonts w:ascii="Garamond" w:hAnsi="Garamond" w:cstheme="majorBidi"/>
          <w:i/>
          <w:iCs/>
          <w:lang w:bidi="ar-EG"/>
        </w:rPr>
        <w:t>i</w:t>
      </w:r>
      <w:r w:rsidR="00FB14E1" w:rsidRPr="00ED4DBE">
        <w:rPr>
          <w:rFonts w:ascii="Garamond" w:hAnsi="Garamond" w:cstheme="majorBidi"/>
          <w:i/>
          <w:iCs/>
          <w:rtl/>
          <w:lang w:bidi="ar-EG"/>
        </w:rPr>
        <w:t xml:space="preserve"> </w:t>
      </w:r>
      <w:proofErr w:type="spellStart"/>
      <w:r w:rsidR="00FB14E1" w:rsidRPr="00ED4DBE">
        <w:rPr>
          <w:rFonts w:ascii="Garamond" w:hAnsi="Garamond" w:cstheme="majorBidi"/>
          <w:i/>
          <w:iCs/>
          <w:lang w:bidi="ar-EG"/>
        </w:rPr>
        <w:t>Kasultanan</w:t>
      </w:r>
      <w:proofErr w:type="spellEnd"/>
      <w:r w:rsidR="00FB14E1" w:rsidRPr="00ED4DBE">
        <w:rPr>
          <w:rFonts w:ascii="Garamond" w:hAnsi="Garamond" w:cstheme="majorBidi"/>
          <w:i/>
          <w:iCs/>
          <w:lang w:bidi="ar-EG"/>
        </w:rPr>
        <w:t xml:space="preserve"> </w:t>
      </w:r>
      <w:proofErr w:type="spellStart"/>
      <w:r w:rsidR="00FB14E1" w:rsidRPr="00ED4DBE">
        <w:rPr>
          <w:rFonts w:ascii="Garamond" w:hAnsi="Garamond" w:cstheme="majorBidi"/>
          <w:i/>
          <w:iCs/>
          <w:lang w:bidi="ar-EG"/>
        </w:rPr>
        <w:t>Ngayogyakarta</w:t>
      </w:r>
      <w:proofErr w:type="spellEnd"/>
      <w:r w:rsidR="00FB14E1" w:rsidRPr="00ED4DBE">
        <w:rPr>
          <w:rFonts w:ascii="Garamond" w:hAnsi="Garamond" w:cstheme="majorBidi"/>
          <w:i/>
          <w:iCs/>
          <w:lang w:bidi="ar-EG"/>
        </w:rPr>
        <w:t xml:space="preserve"> </w:t>
      </w:r>
      <w:proofErr w:type="spellStart"/>
      <w:r w:rsidR="00FB14E1" w:rsidRPr="00ED4DBE">
        <w:rPr>
          <w:rFonts w:ascii="Garamond" w:hAnsi="Garamond" w:cstheme="majorBidi"/>
          <w:i/>
          <w:iCs/>
          <w:lang w:bidi="ar-EG"/>
        </w:rPr>
        <w:t>Hadiningrat</w:t>
      </w:r>
      <w:proofErr w:type="spellEnd"/>
      <w:r w:rsidR="00CB6862" w:rsidRPr="00ED4DBE">
        <w:rPr>
          <w:rFonts w:ascii="Garamond" w:hAnsi="Garamond" w:cstheme="majorBidi"/>
          <w:lang w:bidi="ar-EG"/>
        </w:rPr>
        <w:t>:</w:t>
      </w:r>
      <w:r w:rsidR="00FB14E1" w:rsidRPr="00ED4DBE">
        <w:rPr>
          <w:rFonts w:ascii="Garamond" w:hAnsi="Garamond" w:cstheme="majorBidi"/>
          <w:i/>
          <w:iCs/>
          <w:lang w:bidi="ar-EG"/>
        </w:rPr>
        <w:t xml:space="preserve"> </w:t>
      </w:r>
      <w:proofErr w:type="spellStart"/>
      <w:r w:rsidR="00FB14E1" w:rsidRPr="00ED4DBE">
        <w:rPr>
          <w:rFonts w:ascii="Garamond" w:hAnsi="Garamond" w:cstheme="majorBidi"/>
          <w:i/>
          <w:iCs/>
          <w:lang w:bidi="ar-EG"/>
        </w:rPr>
        <w:t>Studi</w:t>
      </w:r>
      <w:proofErr w:type="spellEnd"/>
      <w:r w:rsidR="00FB14E1" w:rsidRPr="00ED4DBE">
        <w:rPr>
          <w:rFonts w:ascii="Garamond" w:hAnsi="Garamond" w:cstheme="majorBidi"/>
          <w:i/>
          <w:iCs/>
          <w:lang w:bidi="ar-EG"/>
        </w:rPr>
        <w:t xml:space="preserve"> Living </w:t>
      </w:r>
      <w:proofErr w:type="spellStart"/>
      <w:r w:rsidR="00FB14E1" w:rsidRPr="00ED4DBE">
        <w:rPr>
          <w:rFonts w:ascii="Garamond" w:hAnsi="Garamond" w:cstheme="majorBidi"/>
          <w:i/>
          <w:iCs/>
          <w:lang w:bidi="ar-EG"/>
        </w:rPr>
        <w:t>Hadis</w:t>
      </w:r>
      <w:proofErr w:type="spellEnd"/>
      <w:r w:rsidR="00CB6862" w:rsidRPr="00ED4DBE">
        <w:rPr>
          <w:rFonts w:ascii="Garamond" w:hAnsi="Garamond" w:cstheme="majorBidi"/>
          <w:lang w:bidi="ar-EG"/>
        </w:rPr>
        <w:t xml:space="preserve">” by </w:t>
      </w:r>
      <w:proofErr w:type="spellStart"/>
      <w:r w:rsidR="00CB6862" w:rsidRPr="00ED4DBE">
        <w:rPr>
          <w:rFonts w:ascii="Garamond" w:hAnsi="Garamond" w:cs="Traditional Arabic"/>
          <w:lang w:bidi="ar-EG"/>
        </w:rPr>
        <w:t>Halimatus</w:t>
      </w:r>
      <w:proofErr w:type="spellEnd"/>
      <w:r w:rsidR="00CB6862" w:rsidRPr="00ED4DBE">
        <w:rPr>
          <w:rFonts w:ascii="Garamond" w:hAnsi="Garamond" w:cs="Traditional Arabic"/>
          <w:lang w:bidi="ar-EG"/>
        </w:rPr>
        <w:t xml:space="preserve"> </w:t>
      </w:r>
      <w:proofErr w:type="spellStart"/>
      <w:r w:rsidR="00CB6862" w:rsidRPr="00ED4DBE">
        <w:rPr>
          <w:rFonts w:ascii="Garamond" w:hAnsi="Garamond" w:cs="Traditional Arabic"/>
          <w:lang w:bidi="ar-EG"/>
        </w:rPr>
        <w:t>Saadiah</w:t>
      </w:r>
      <w:proofErr w:type="spellEnd"/>
      <w:r w:rsidR="00344DCD" w:rsidRPr="00ED4DBE">
        <w:rPr>
          <w:rFonts w:ascii="Garamond" w:hAnsi="Garamond" w:cstheme="majorBidi"/>
          <w:lang w:bidi="ar-EG"/>
        </w:rPr>
        <w:t>,</w:t>
      </w:r>
      <w:r w:rsidR="00FB14E1" w:rsidRPr="00ED4DBE">
        <w:rPr>
          <w:rStyle w:val="FootnoteReference"/>
          <w:rFonts w:ascii="Garamond" w:hAnsi="Garamond"/>
          <w:rtl/>
        </w:rPr>
        <w:footnoteReference w:id="44"/>
      </w:r>
      <w:r w:rsidR="00FB0005">
        <w:rPr>
          <w:rFonts w:ascii="Garamond" w:hAnsi="Garamond" w:cs="Traditional Arabic"/>
          <w:lang w:bidi="ar-EG"/>
        </w:rPr>
        <w:t xml:space="preserve"> “</w:t>
      </w:r>
      <w:proofErr w:type="spellStart"/>
      <w:r w:rsidR="00FB0005" w:rsidRPr="00FB0005">
        <w:rPr>
          <w:rFonts w:ascii="Garamond" w:hAnsi="Garamond" w:cs="Traditional Arabic"/>
          <w:i/>
          <w:iCs/>
          <w:lang w:bidi="ar-EG"/>
        </w:rPr>
        <w:t>Filantropi</w:t>
      </w:r>
      <w:proofErr w:type="spellEnd"/>
      <w:r w:rsidR="00FB0005" w:rsidRPr="00FB0005">
        <w:rPr>
          <w:rFonts w:ascii="Garamond" w:hAnsi="Garamond" w:cs="Traditional Arabic"/>
          <w:i/>
          <w:iCs/>
          <w:lang w:bidi="ar-EG"/>
        </w:rPr>
        <w:t xml:space="preserve"> </w:t>
      </w:r>
      <w:proofErr w:type="spellStart"/>
      <w:r w:rsidR="00FB0005" w:rsidRPr="00FB0005">
        <w:rPr>
          <w:rFonts w:ascii="Garamond" w:hAnsi="Garamond" w:cs="Traditional Arabic"/>
          <w:i/>
          <w:iCs/>
          <w:lang w:bidi="ar-EG"/>
        </w:rPr>
        <w:t>Dalam</w:t>
      </w:r>
      <w:proofErr w:type="spellEnd"/>
      <w:r w:rsidR="00FB0005" w:rsidRPr="00FB0005">
        <w:rPr>
          <w:rFonts w:ascii="Garamond" w:hAnsi="Garamond" w:cs="Traditional Arabic"/>
          <w:i/>
          <w:iCs/>
          <w:lang w:bidi="ar-EG"/>
        </w:rPr>
        <w:t xml:space="preserve"> </w:t>
      </w:r>
      <w:proofErr w:type="spellStart"/>
      <w:r w:rsidR="00FB0005" w:rsidRPr="00FB0005">
        <w:rPr>
          <w:rFonts w:ascii="Garamond" w:hAnsi="Garamond" w:cs="Traditional Arabic"/>
          <w:i/>
          <w:iCs/>
          <w:lang w:bidi="ar-EG"/>
        </w:rPr>
        <w:t>Gerakan</w:t>
      </w:r>
      <w:proofErr w:type="spellEnd"/>
      <w:r w:rsidR="00FB0005" w:rsidRPr="00FB0005">
        <w:rPr>
          <w:rFonts w:ascii="Garamond" w:hAnsi="Garamond" w:cs="Traditional Arabic"/>
          <w:i/>
          <w:iCs/>
          <w:lang w:bidi="ar-EG"/>
        </w:rPr>
        <w:t xml:space="preserve"> </w:t>
      </w:r>
      <w:proofErr w:type="spellStart"/>
      <w:r w:rsidR="00FB0005" w:rsidRPr="00FB0005">
        <w:rPr>
          <w:rFonts w:ascii="Garamond" w:hAnsi="Garamond" w:cs="Traditional Arabic"/>
          <w:i/>
          <w:iCs/>
          <w:lang w:bidi="ar-EG"/>
        </w:rPr>
        <w:t>Muhammadiyah</w:t>
      </w:r>
      <w:proofErr w:type="spellEnd"/>
      <w:r w:rsidR="00FB0005" w:rsidRPr="00FB0005">
        <w:rPr>
          <w:rFonts w:ascii="Garamond" w:hAnsi="Garamond" w:cs="Traditional Arabic"/>
          <w:i/>
          <w:iCs/>
          <w:lang w:bidi="ar-EG"/>
        </w:rPr>
        <w:t xml:space="preserve"> </w:t>
      </w:r>
      <w:r w:rsidR="00035515">
        <w:rPr>
          <w:rFonts w:ascii="Garamond" w:hAnsi="Garamond" w:cs="Traditional Arabic"/>
          <w:i/>
          <w:iCs/>
          <w:lang w:bidi="ar-EG"/>
        </w:rPr>
        <w:t>d</w:t>
      </w:r>
      <w:r w:rsidR="00FB0005" w:rsidRPr="00FB0005">
        <w:rPr>
          <w:rFonts w:ascii="Garamond" w:hAnsi="Garamond" w:cs="Traditional Arabic"/>
          <w:i/>
          <w:iCs/>
          <w:lang w:bidi="ar-EG"/>
        </w:rPr>
        <w:t>i Daerah Istimewa Yogyakarta</w:t>
      </w:r>
      <w:r w:rsidR="00FB0005">
        <w:rPr>
          <w:rFonts w:ascii="Garamond" w:hAnsi="Garamond" w:cs="Traditional Arabic"/>
          <w:i/>
          <w:iCs/>
          <w:lang w:bidi="ar-EG"/>
        </w:rPr>
        <w:t>:</w:t>
      </w:r>
      <w:r w:rsidR="00FB0005" w:rsidRPr="00FB0005">
        <w:rPr>
          <w:rFonts w:ascii="Garamond" w:hAnsi="Garamond" w:cs="Traditional Arabic"/>
          <w:i/>
          <w:iCs/>
          <w:lang w:bidi="ar-EG"/>
        </w:rPr>
        <w:t xml:space="preserve"> </w:t>
      </w:r>
      <w:proofErr w:type="spellStart"/>
      <w:r w:rsidR="00FB0005" w:rsidRPr="00FB0005">
        <w:rPr>
          <w:rFonts w:ascii="Garamond" w:hAnsi="Garamond" w:cs="Traditional Arabic"/>
          <w:i/>
          <w:iCs/>
          <w:lang w:bidi="ar-EG"/>
        </w:rPr>
        <w:t>Studi</w:t>
      </w:r>
      <w:proofErr w:type="spellEnd"/>
      <w:r w:rsidR="00FB0005" w:rsidRPr="00FB0005">
        <w:rPr>
          <w:rFonts w:ascii="Garamond" w:hAnsi="Garamond" w:cs="Traditional Arabic"/>
          <w:i/>
          <w:iCs/>
          <w:lang w:bidi="ar-EG"/>
        </w:rPr>
        <w:t xml:space="preserve"> Living </w:t>
      </w:r>
      <w:proofErr w:type="spellStart"/>
      <w:r w:rsidR="00FB0005" w:rsidRPr="00FB0005">
        <w:rPr>
          <w:rFonts w:ascii="Garamond" w:hAnsi="Garamond" w:cs="Traditional Arabic"/>
          <w:i/>
          <w:iCs/>
          <w:lang w:bidi="ar-EG"/>
        </w:rPr>
        <w:t>Hadis</w:t>
      </w:r>
      <w:proofErr w:type="spellEnd"/>
      <w:r w:rsidR="00FB0005">
        <w:rPr>
          <w:rFonts w:ascii="Garamond" w:hAnsi="Garamond" w:cs="Traditional Arabic"/>
          <w:lang w:bidi="ar-EG"/>
        </w:rPr>
        <w:t xml:space="preserve">” by </w:t>
      </w:r>
      <w:proofErr w:type="spellStart"/>
      <w:r w:rsidR="00FB0005" w:rsidRPr="00FB0005">
        <w:rPr>
          <w:rFonts w:ascii="Garamond" w:hAnsi="Garamond" w:cs="Traditional Arabic"/>
          <w:lang w:bidi="ar-EG"/>
        </w:rPr>
        <w:t>Rohmansyah</w:t>
      </w:r>
      <w:proofErr w:type="spellEnd"/>
      <w:r w:rsidR="00FB0005">
        <w:rPr>
          <w:rFonts w:ascii="Garamond" w:hAnsi="Garamond" w:cs="Traditional Arabic"/>
          <w:lang w:bidi="ar-EG"/>
        </w:rPr>
        <w:t xml:space="preserve"> in 2022</w:t>
      </w:r>
      <w:r w:rsidR="00FB0005" w:rsidRPr="00FB0005">
        <w:rPr>
          <w:rFonts w:ascii="Garamond" w:hAnsi="Garamond" w:cs="Traditional Arabic"/>
          <w:lang w:bidi="ar-EG"/>
        </w:rPr>
        <w:t>,</w:t>
      </w:r>
      <w:r w:rsidR="00FB0005" w:rsidRPr="00FB0005">
        <w:rPr>
          <w:rStyle w:val="FootnoteReference"/>
          <w:rFonts w:ascii="Garamond" w:hAnsi="Garamond"/>
          <w:rtl/>
        </w:rPr>
        <w:footnoteReference w:id="45"/>
      </w:r>
      <w:r w:rsidR="00FB0005">
        <w:rPr>
          <w:rFonts w:ascii="Garamond" w:hAnsi="Garamond" w:cs="Traditional Arabic"/>
          <w:lang w:bidi="ar-EG"/>
        </w:rPr>
        <w:t xml:space="preserve"> </w:t>
      </w:r>
      <w:r w:rsidR="00FB0005">
        <w:rPr>
          <w:rFonts w:ascii="Garamond" w:hAnsi="Garamond"/>
        </w:rPr>
        <w:t>“</w:t>
      </w:r>
      <w:r w:rsidR="00FB0005" w:rsidRPr="00FB0005">
        <w:rPr>
          <w:rFonts w:ascii="Garamond" w:hAnsi="Garamond"/>
          <w:i/>
          <w:iCs/>
        </w:rPr>
        <w:t xml:space="preserve">Living Qur’an </w:t>
      </w:r>
      <w:proofErr w:type="spellStart"/>
      <w:r w:rsidR="00035515">
        <w:rPr>
          <w:rFonts w:ascii="Garamond" w:hAnsi="Garamond"/>
          <w:i/>
          <w:iCs/>
        </w:rPr>
        <w:t>d</w:t>
      </w:r>
      <w:r w:rsidR="00FB0005" w:rsidRPr="00FB0005">
        <w:rPr>
          <w:rFonts w:ascii="Garamond" w:hAnsi="Garamond"/>
          <w:i/>
          <w:iCs/>
        </w:rPr>
        <w:t>an</w:t>
      </w:r>
      <w:proofErr w:type="spellEnd"/>
      <w:r w:rsidR="00FB0005" w:rsidRPr="00FB0005">
        <w:rPr>
          <w:rFonts w:ascii="Garamond" w:hAnsi="Garamond"/>
          <w:i/>
          <w:iCs/>
        </w:rPr>
        <w:t xml:space="preserve"> </w:t>
      </w:r>
      <w:proofErr w:type="spellStart"/>
      <w:r w:rsidR="00FB0005" w:rsidRPr="00FB0005">
        <w:rPr>
          <w:rFonts w:ascii="Garamond" w:hAnsi="Garamond"/>
          <w:i/>
          <w:iCs/>
        </w:rPr>
        <w:t>Hadis</w:t>
      </w:r>
      <w:proofErr w:type="spellEnd"/>
      <w:r w:rsidR="00FB0005" w:rsidRPr="00FB0005">
        <w:rPr>
          <w:rFonts w:ascii="Garamond" w:hAnsi="Garamond"/>
          <w:i/>
          <w:iCs/>
        </w:rPr>
        <w:t xml:space="preserve"> Di </w:t>
      </w:r>
      <w:proofErr w:type="spellStart"/>
      <w:r w:rsidR="00FB0005" w:rsidRPr="00FB0005">
        <w:rPr>
          <w:rFonts w:ascii="Garamond" w:hAnsi="Garamond"/>
          <w:i/>
          <w:iCs/>
        </w:rPr>
        <w:t>Mi</w:t>
      </w:r>
      <w:proofErr w:type="spellEnd"/>
      <w:r w:rsidR="00FB0005" w:rsidRPr="00FB0005">
        <w:rPr>
          <w:rFonts w:ascii="Garamond" w:hAnsi="Garamond"/>
          <w:i/>
          <w:iCs/>
        </w:rPr>
        <w:t xml:space="preserve"> </w:t>
      </w:r>
      <w:proofErr w:type="spellStart"/>
      <w:r w:rsidR="00FB0005" w:rsidRPr="00FB0005">
        <w:rPr>
          <w:rFonts w:ascii="Garamond" w:hAnsi="Garamond"/>
          <w:i/>
          <w:iCs/>
        </w:rPr>
        <w:t>Nurul</w:t>
      </w:r>
      <w:proofErr w:type="spellEnd"/>
      <w:r w:rsidR="00FB0005" w:rsidRPr="00FB0005">
        <w:rPr>
          <w:rFonts w:ascii="Garamond" w:hAnsi="Garamond"/>
          <w:i/>
          <w:iCs/>
        </w:rPr>
        <w:t xml:space="preserve"> </w:t>
      </w:r>
      <w:proofErr w:type="spellStart"/>
      <w:r w:rsidR="00FB0005" w:rsidRPr="00FB0005">
        <w:rPr>
          <w:rFonts w:ascii="Garamond" w:hAnsi="Garamond"/>
          <w:i/>
          <w:iCs/>
        </w:rPr>
        <w:t>Ummah</w:t>
      </w:r>
      <w:proofErr w:type="spellEnd"/>
      <w:r w:rsidR="00FB0005" w:rsidRPr="00FB0005">
        <w:rPr>
          <w:rFonts w:ascii="Garamond" w:hAnsi="Garamond"/>
          <w:i/>
          <w:iCs/>
        </w:rPr>
        <w:t xml:space="preserve"> </w:t>
      </w:r>
      <w:proofErr w:type="spellStart"/>
      <w:r w:rsidR="00FB0005" w:rsidRPr="00FB0005">
        <w:rPr>
          <w:rFonts w:ascii="Garamond" w:hAnsi="Garamond"/>
          <w:i/>
          <w:iCs/>
        </w:rPr>
        <w:t>Kotagede</w:t>
      </w:r>
      <w:proofErr w:type="spellEnd"/>
      <w:r w:rsidR="00FB0005" w:rsidRPr="00FB0005">
        <w:rPr>
          <w:rFonts w:ascii="Garamond" w:hAnsi="Garamond"/>
          <w:i/>
          <w:iCs/>
        </w:rPr>
        <w:t xml:space="preserve"> Yogyakarta </w:t>
      </w:r>
      <w:r w:rsidR="00FB0005">
        <w:rPr>
          <w:rFonts w:ascii="Garamond" w:hAnsi="Garamond"/>
          <w:i/>
          <w:iCs/>
        </w:rPr>
        <w:t>:</w:t>
      </w:r>
      <w:proofErr w:type="spellStart"/>
      <w:r w:rsidR="00FB0005" w:rsidRPr="00FB0005">
        <w:rPr>
          <w:rFonts w:ascii="Garamond" w:hAnsi="Garamond"/>
          <w:i/>
          <w:iCs/>
        </w:rPr>
        <w:t>Studi</w:t>
      </w:r>
      <w:proofErr w:type="spellEnd"/>
      <w:r w:rsidR="00FB0005" w:rsidRPr="00FB0005">
        <w:rPr>
          <w:rFonts w:ascii="Garamond" w:hAnsi="Garamond"/>
          <w:i/>
          <w:iCs/>
        </w:rPr>
        <w:t xml:space="preserve"> </w:t>
      </w:r>
      <w:proofErr w:type="spellStart"/>
      <w:r w:rsidR="00FB0005" w:rsidRPr="00FB0005">
        <w:rPr>
          <w:rFonts w:ascii="Garamond" w:hAnsi="Garamond"/>
          <w:i/>
          <w:iCs/>
        </w:rPr>
        <w:t>Pendidikan</w:t>
      </w:r>
      <w:proofErr w:type="spellEnd"/>
      <w:r w:rsidR="00FB0005" w:rsidRPr="00FB0005">
        <w:rPr>
          <w:rFonts w:ascii="Garamond" w:hAnsi="Garamond"/>
          <w:i/>
          <w:iCs/>
        </w:rPr>
        <w:t xml:space="preserve"> </w:t>
      </w:r>
      <w:proofErr w:type="spellStart"/>
      <w:r w:rsidR="00FB0005" w:rsidRPr="00FB0005">
        <w:rPr>
          <w:rFonts w:ascii="Garamond" w:hAnsi="Garamond"/>
          <w:i/>
          <w:iCs/>
        </w:rPr>
        <w:t>Nilai</w:t>
      </w:r>
      <w:proofErr w:type="spellEnd"/>
      <w:r w:rsidR="00FB0005" w:rsidRPr="00FB0005">
        <w:rPr>
          <w:rFonts w:ascii="Garamond" w:hAnsi="Garamond"/>
          <w:i/>
          <w:iCs/>
        </w:rPr>
        <w:t xml:space="preserve"> </w:t>
      </w:r>
      <w:proofErr w:type="spellStart"/>
      <w:r w:rsidR="00035515">
        <w:rPr>
          <w:rFonts w:ascii="Garamond" w:hAnsi="Garamond"/>
          <w:i/>
          <w:iCs/>
        </w:rPr>
        <w:t>d</w:t>
      </w:r>
      <w:r w:rsidR="00FB0005" w:rsidRPr="00FB0005">
        <w:rPr>
          <w:rFonts w:ascii="Garamond" w:hAnsi="Garamond"/>
          <w:i/>
          <w:iCs/>
        </w:rPr>
        <w:t>alam</w:t>
      </w:r>
      <w:proofErr w:type="spellEnd"/>
      <w:r w:rsidR="00FB0005" w:rsidRPr="00FB0005">
        <w:rPr>
          <w:rFonts w:ascii="Garamond" w:hAnsi="Garamond"/>
          <w:i/>
          <w:iCs/>
        </w:rPr>
        <w:t xml:space="preserve"> </w:t>
      </w:r>
      <w:proofErr w:type="spellStart"/>
      <w:r w:rsidR="00FB0005" w:rsidRPr="00FB0005">
        <w:rPr>
          <w:rFonts w:ascii="Garamond" w:hAnsi="Garamond"/>
          <w:i/>
          <w:iCs/>
        </w:rPr>
        <w:t>Pembelajaran</w:t>
      </w:r>
      <w:proofErr w:type="spellEnd"/>
      <w:r w:rsidR="00FB0005" w:rsidRPr="00FB0005">
        <w:rPr>
          <w:rFonts w:ascii="Garamond" w:hAnsi="Garamond"/>
          <w:i/>
          <w:iCs/>
        </w:rPr>
        <w:t xml:space="preserve"> Al- Qur’an </w:t>
      </w:r>
      <w:proofErr w:type="spellStart"/>
      <w:r w:rsidR="00FB0005" w:rsidRPr="00FB0005">
        <w:rPr>
          <w:rFonts w:ascii="Garamond" w:hAnsi="Garamond"/>
          <w:i/>
          <w:iCs/>
        </w:rPr>
        <w:t>Hadis</w:t>
      </w:r>
      <w:proofErr w:type="spellEnd"/>
      <w:r w:rsidR="00FB0005" w:rsidRPr="00FB0005">
        <w:rPr>
          <w:rFonts w:ascii="Garamond" w:hAnsi="Garamond"/>
          <w:i/>
          <w:iCs/>
        </w:rPr>
        <w:t xml:space="preserve"> </w:t>
      </w:r>
      <w:proofErr w:type="spellStart"/>
      <w:r w:rsidR="00FB0005" w:rsidRPr="00FB0005">
        <w:rPr>
          <w:rFonts w:ascii="Garamond" w:hAnsi="Garamond"/>
          <w:i/>
          <w:iCs/>
        </w:rPr>
        <w:t>Kelas</w:t>
      </w:r>
      <w:proofErr w:type="spellEnd"/>
      <w:r w:rsidR="00FB0005" w:rsidRPr="00FB0005">
        <w:rPr>
          <w:rFonts w:ascii="Garamond" w:hAnsi="Garamond"/>
          <w:i/>
          <w:iCs/>
        </w:rPr>
        <w:t xml:space="preserve"> 1-3</w:t>
      </w:r>
      <w:r w:rsidR="00FB0005" w:rsidRPr="00FB0005">
        <w:rPr>
          <w:rFonts w:ascii="Garamond" w:hAnsi="Garamond"/>
        </w:rPr>
        <w:t>”</w:t>
      </w:r>
      <w:r w:rsidR="00FB0005">
        <w:rPr>
          <w:rFonts w:ascii="Garamond" w:hAnsi="Garamond"/>
        </w:rPr>
        <w:t xml:space="preserve"> by</w:t>
      </w:r>
      <w:r w:rsidR="00FB0005" w:rsidRPr="00FB0005">
        <w:t xml:space="preserve"> </w:t>
      </w:r>
      <w:r w:rsidR="00FB0005" w:rsidRPr="00FB0005">
        <w:rPr>
          <w:rFonts w:ascii="Garamond" w:hAnsi="Garamond"/>
        </w:rPr>
        <w:t xml:space="preserve">Muhammad </w:t>
      </w:r>
      <w:proofErr w:type="spellStart"/>
      <w:r w:rsidR="00FB0005" w:rsidRPr="00FB0005">
        <w:rPr>
          <w:rFonts w:ascii="Garamond" w:hAnsi="Garamond"/>
        </w:rPr>
        <w:t>Shaleh</w:t>
      </w:r>
      <w:proofErr w:type="spellEnd"/>
      <w:r w:rsidR="00FB0005" w:rsidRPr="00FB0005">
        <w:rPr>
          <w:rFonts w:ascii="Garamond" w:hAnsi="Garamond"/>
        </w:rPr>
        <w:t xml:space="preserve"> </w:t>
      </w:r>
      <w:proofErr w:type="spellStart"/>
      <w:r w:rsidR="00FB0005" w:rsidRPr="00FB0005">
        <w:rPr>
          <w:rFonts w:ascii="Garamond" w:hAnsi="Garamond"/>
        </w:rPr>
        <w:t>Assingkily</w:t>
      </w:r>
      <w:proofErr w:type="spellEnd"/>
      <w:r w:rsidR="00FB0005" w:rsidRPr="00FB0005">
        <w:rPr>
          <w:rFonts w:ascii="Garamond" w:hAnsi="Garamond"/>
        </w:rPr>
        <w:t>,</w:t>
      </w:r>
      <w:r w:rsidR="00FB0005" w:rsidRPr="00FB0005">
        <w:rPr>
          <w:rStyle w:val="FootnoteReference"/>
          <w:rFonts w:ascii="Garamond" w:hAnsi="Garamond"/>
          <w:rtl/>
        </w:rPr>
        <w:footnoteReference w:id="46"/>
      </w:r>
      <w:r w:rsidR="00FB0005">
        <w:rPr>
          <w:rFonts w:ascii="Garamond" w:hAnsi="Garamond" w:cs="Traditional Arabic"/>
          <w:lang w:bidi="ar-EG"/>
        </w:rPr>
        <w:t xml:space="preserve"> “</w:t>
      </w:r>
      <w:proofErr w:type="spellStart"/>
      <w:r w:rsidR="00FB0005" w:rsidRPr="00FB0005">
        <w:rPr>
          <w:rFonts w:ascii="Garamond" w:hAnsi="Garamond" w:cs="Traditional Arabic"/>
          <w:i/>
          <w:iCs/>
          <w:lang w:bidi="ar-EG"/>
        </w:rPr>
        <w:t>Konsep</w:t>
      </w:r>
      <w:proofErr w:type="spellEnd"/>
      <w:r w:rsidR="00FB0005" w:rsidRPr="00FB0005">
        <w:rPr>
          <w:rFonts w:ascii="Garamond" w:hAnsi="Garamond" w:cs="Traditional Arabic"/>
          <w:i/>
          <w:iCs/>
          <w:lang w:bidi="ar-EG"/>
        </w:rPr>
        <w:t xml:space="preserve"> </w:t>
      </w:r>
      <w:proofErr w:type="spellStart"/>
      <w:r w:rsidR="00FB0005">
        <w:rPr>
          <w:rFonts w:ascii="Garamond" w:hAnsi="Garamond" w:cs="Traditional Arabic"/>
          <w:i/>
          <w:iCs/>
          <w:lang w:bidi="ar-EG"/>
        </w:rPr>
        <w:t>Pakaian</w:t>
      </w:r>
      <w:proofErr w:type="spellEnd"/>
      <w:r w:rsidR="00FB0005">
        <w:rPr>
          <w:rFonts w:ascii="Garamond" w:hAnsi="Garamond" w:cs="Traditional Arabic"/>
          <w:i/>
          <w:iCs/>
          <w:lang w:bidi="ar-EG"/>
        </w:rPr>
        <w:t xml:space="preserve"> </w:t>
      </w:r>
      <w:proofErr w:type="spellStart"/>
      <w:r w:rsidR="00FB0005">
        <w:rPr>
          <w:rFonts w:ascii="Garamond" w:hAnsi="Garamond" w:cs="Traditional Arabic"/>
          <w:i/>
          <w:iCs/>
          <w:lang w:bidi="ar-EG"/>
        </w:rPr>
        <w:t>Menurut</w:t>
      </w:r>
      <w:proofErr w:type="spellEnd"/>
      <w:r w:rsidR="00FB0005">
        <w:rPr>
          <w:rFonts w:ascii="Garamond" w:hAnsi="Garamond" w:cs="Traditional Arabic"/>
          <w:i/>
          <w:iCs/>
          <w:lang w:bidi="ar-EG"/>
        </w:rPr>
        <w:t xml:space="preserve"> </w:t>
      </w:r>
      <w:proofErr w:type="spellStart"/>
      <w:r w:rsidR="00FB0005">
        <w:rPr>
          <w:rFonts w:ascii="Garamond" w:hAnsi="Garamond" w:cs="Traditional Arabic"/>
          <w:i/>
          <w:iCs/>
          <w:lang w:bidi="ar-EG"/>
        </w:rPr>
        <w:t>Salafi</w:t>
      </w:r>
      <w:proofErr w:type="spellEnd"/>
      <w:r w:rsidR="00FB0005">
        <w:rPr>
          <w:rFonts w:ascii="Garamond" w:hAnsi="Garamond" w:cs="Traditional Arabic"/>
          <w:i/>
          <w:iCs/>
          <w:lang w:bidi="ar-EG"/>
        </w:rPr>
        <w:t xml:space="preserve"> </w:t>
      </w:r>
      <w:proofErr w:type="spellStart"/>
      <w:r w:rsidR="00FB0005">
        <w:rPr>
          <w:rFonts w:ascii="Garamond" w:hAnsi="Garamond" w:cs="Traditional Arabic"/>
          <w:i/>
          <w:iCs/>
          <w:lang w:bidi="ar-EG"/>
        </w:rPr>
        <w:t>Banyumas</w:t>
      </w:r>
      <w:r w:rsidR="00FB0005" w:rsidRPr="00FB0005">
        <w:rPr>
          <w:rFonts w:ascii="Garamond" w:hAnsi="Garamond" w:cs="Traditional Arabic"/>
          <w:lang w:bidi="ar-EG"/>
        </w:rPr>
        <w:t>:</w:t>
      </w:r>
      <w:r w:rsidR="00FB0005" w:rsidRPr="00FB0005">
        <w:rPr>
          <w:rFonts w:ascii="Garamond" w:hAnsi="Garamond" w:cs="Traditional Arabic"/>
          <w:i/>
          <w:iCs/>
          <w:lang w:bidi="ar-EG"/>
        </w:rPr>
        <w:t>Studi</w:t>
      </w:r>
      <w:proofErr w:type="spellEnd"/>
      <w:r w:rsidR="00FB0005" w:rsidRPr="00FB0005">
        <w:rPr>
          <w:rFonts w:ascii="Garamond" w:hAnsi="Garamond" w:cs="Traditional Arabic"/>
          <w:i/>
          <w:iCs/>
          <w:lang w:bidi="ar-EG"/>
        </w:rPr>
        <w:t xml:space="preserve"> Living </w:t>
      </w:r>
      <w:proofErr w:type="spellStart"/>
      <w:r w:rsidR="00FB0005" w:rsidRPr="00FB0005">
        <w:rPr>
          <w:rFonts w:ascii="Garamond" w:hAnsi="Garamond" w:cs="Traditional Arabic"/>
          <w:i/>
          <w:iCs/>
          <w:lang w:bidi="ar-EG"/>
        </w:rPr>
        <w:t>Hadis</w:t>
      </w:r>
      <w:proofErr w:type="spellEnd"/>
      <w:r w:rsidR="00FB0005" w:rsidRPr="00FB0005">
        <w:rPr>
          <w:rFonts w:ascii="Garamond" w:hAnsi="Garamond" w:cs="Traditional Arabic"/>
          <w:lang w:bidi="ar-EG"/>
        </w:rPr>
        <w:t>”</w:t>
      </w:r>
      <w:r w:rsidR="00FB0005">
        <w:rPr>
          <w:rFonts w:ascii="Garamond" w:hAnsi="Garamond" w:cs="Traditional Arabic"/>
          <w:lang w:bidi="ar-EG"/>
        </w:rPr>
        <w:t xml:space="preserve"> by </w:t>
      </w:r>
      <w:r w:rsidR="00FB0005" w:rsidRPr="00FB0005">
        <w:rPr>
          <w:rFonts w:ascii="Garamond" w:hAnsi="Garamond" w:cs="Traditional Arabic"/>
          <w:lang w:bidi="ar-EG"/>
        </w:rPr>
        <w:t>Ismail,</w:t>
      </w:r>
      <w:r w:rsidR="00FB0005" w:rsidRPr="00FB0005">
        <w:rPr>
          <w:rStyle w:val="FootnoteTextChar"/>
          <w:rFonts w:ascii="Garamond" w:hAnsi="Garamond"/>
          <w:rtl/>
        </w:rPr>
        <w:t xml:space="preserve"> </w:t>
      </w:r>
      <w:r w:rsidR="00FB0005" w:rsidRPr="00FB0005">
        <w:rPr>
          <w:rStyle w:val="FootnoteReference"/>
          <w:rFonts w:ascii="Garamond" w:hAnsi="Garamond"/>
          <w:rtl/>
        </w:rPr>
        <w:footnoteReference w:id="47"/>
      </w:r>
      <w:r w:rsidR="0037601A" w:rsidRPr="00FB0005">
        <w:rPr>
          <w:rFonts w:ascii="Garamond" w:hAnsi="Garamond"/>
        </w:rPr>
        <w:t>a</w:t>
      </w:r>
      <w:r w:rsidR="00ED4DBE" w:rsidRPr="00FB0005">
        <w:rPr>
          <w:rFonts w:ascii="Garamond" w:hAnsi="Garamond"/>
        </w:rPr>
        <w:t>nd</w:t>
      </w:r>
      <w:r w:rsidR="00ED4DBE" w:rsidRPr="00ED4DBE">
        <w:rPr>
          <w:rFonts w:ascii="Garamond" w:hAnsi="Garamond"/>
        </w:rPr>
        <w:t xml:space="preserve"> several other titles</w:t>
      </w:r>
      <w:r w:rsidR="0037601A">
        <w:rPr>
          <w:rFonts w:ascii="Garamond" w:hAnsi="Garamond"/>
        </w:rPr>
        <w:t xml:space="preserve">, </w:t>
      </w:r>
      <w:r w:rsidR="00344DCD" w:rsidRPr="00ED4DBE">
        <w:rPr>
          <w:rFonts w:ascii="Garamond" w:hAnsi="Garamond" w:cs="Traditional Arabic"/>
          <w:lang w:bidi="ar-EG"/>
        </w:rPr>
        <w:t>h</w:t>
      </w:r>
      <w:r w:rsidR="00CB6862" w:rsidRPr="00ED4DBE">
        <w:rPr>
          <w:rFonts w:ascii="Garamond" w:hAnsi="Garamond" w:cs="Traditional Arabic"/>
          <w:lang w:bidi="ar-EG"/>
        </w:rPr>
        <w:t>owever</w:t>
      </w:r>
      <w:r w:rsidR="00CB6862">
        <w:rPr>
          <w:rFonts w:ascii="Garamond" w:hAnsi="Garamond" w:cs="Traditional Arabic"/>
          <w:lang w:bidi="ar-EG"/>
        </w:rPr>
        <w:t>, t</w:t>
      </w:r>
      <w:r w:rsidRPr="00782E4E">
        <w:rPr>
          <w:rFonts w:ascii="Garamond" w:hAnsi="Garamond" w:cs="Traditional Arabic"/>
          <w:lang w:bidi="ar-EG"/>
        </w:rPr>
        <w:t>he most recent bachelor's thesis</w:t>
      </w:r>
      <w:r w:rsidR="00CB6862">
        <w:rPr>
          <w:rFonts w:ascii="Garamond" w:hAnsi="Garamond" w:cs="Traditional Arabic"/>
          <w:lang w:bidi="ar-EG"/>
        </w:rPr>
        <w:t>.</w:t>
      </w:r>
      <w:r w:rsidR="00344DCD">
        <w:rPr>
          <w:rFonts w:ascii="Garamond" w:hAnsi="Garamond" w:cs="Traditional Arabic"/>
          <w:lang w:bidi="ar-EG"/>
        </w:rPr>
        <w:t xml:space="preserve"> </w:t>
      </w:r>
      <w:r w:rsidRPr="00782E4E">
        <w:rPr>
          <w:rFonts w:ascii="Garamond" w:hAnsi="Garamond" w:cs="Traditional Arabic"/>
          <w:lang w:bidi="ar-EG"/>
        </w:rPr>
        <w:t>This data has been modified by the researcher based on what is available in the repository, and the researchers believe that there are many other messages that have not been included. Nevertheless, this data shows that the “Living Hadith” method has become widespread in this univer</w:t>
      </w:r>
      <w:r w:rsidR="00CB6862">
        <w:rPr>
          <w:rFonts w:ascii="Garamond" w:hAnsi="Garamond" w:cs="Traditional Arabic"/>
          <w:lang w:bidi="ar-EG"/>
        </w:rPr>
        <w:t xml:space="preserve">sity, as it is considered a new </w:t>
      </w:r>
      <w:r w:rsidRPr="00782E4E">
        <w:rPr>
          <w:rFonts w:ascii="Garamond" w:hAnsi="Garamond" w:cs="Traditional Arabic"/>
          <w:lang w:bidi="ar-EG"/>
        </w:rPr>
        <w:t>method in hadith studies</w:t>
      </w:r>
      <w:r w:rsidR="00CB6862">
        <w:rPr>
          <w:rFonts w:ascii="Garamond" w:hAnsi="Garamond" w:cs="Traditional Arabic"/>
          <w:lang w:bidi="ar-EG"/>
        </w:rPr>
        <w:t>.</w:t>
      </w:r>
    </w:p>
    <w:p w:rsidR="0037601A" w:rsidRPr="00FB0005" w:rsidRDefault="0037601A" w:rsidP="00FB0005">
      <w:pPr>
        <w:ind w:firstLine="720"/>
        <w:jc w:val="both"/>
        <w:rPr>
          <w:rFonts w:ascii="Garamond" w:hAnsi="Garamond" w:cs="Traditional Arabic"/>
          <w:b/>
          <w:bCs/>
          <w:lang w:bidi="ar-EG"/>
        </w:rPr>
      </w:pPr>
      <w:r w:rsidRPr="0037601A">
        <w:rPr>
          <w:rFonts w:ascii="Garamond" w:hAnsi="Garamond"/>
        </w:rPr>
        <w:t>Graphically, there was an increase in Living Hadith studies in 2022 at this campus, but a decline in the following year.</w:t>
      </w:r>
      <w:r w:rsidR="00366D0D">
        <w:rPr>
          <w:rStyle w:val="FootnoteReference"/>
          <w:rFonts w:ascii="Garamond" w:hAnsi="Garamond"/>
        </w:rPr>
        <w:footnoteReference w:id="48"/>
      </w:r>
      <w:r>
        <w:rPr>
          <w:rFonts w:ascii="Garamond" w:hAnsi="Garamond"/>
        </w:rPr>
        <w:t xml:space="preserve"> </w:t>
      </w:r>
      <w:r w:rsidRPr="0037601A">
        <w:rPr>
          <w:rFonts w:ascii="Garamond" w:hAnsi="Garamond"/>
        </w:rPr>
        <w:t xml:space="preserve">The graph below is based on data from the repository of the State Islamic University of </w:t>
      </w:r>
      <w:proofErr w:type="spellStart"/>
      <w:r w:rsidRPr="0037601A">
        <w:rPr>
          <w:rFonts w:ascii="Garamond" w:hAnsi="Garamond"/>
        </w:rPr>
        <w:t>Sunan</w:t>
      </w:r>
      <w:proofErr w:type="spellEnd"/>
      <w:r w:rsidRPr="0037601A">
        <w:rPr>
          <w:rFonts w:ascii="Garamond" w:hAnsi="Garamond"/>
        </w:rPr>
        <w:t xml:space="preserve"> </w:t>
      </w:r>
      <w:proofErr w:type="spellStart"/>
      <w:r w:rsidRPr="0037601A">
        <w:rPr>
          <w:rFonts w:ascii="Garamond" w:hAnsi="Garamond"/>
        </w:rPr>
        <w:t>Kalijaga</w:t>
      </w:r>
      <w:proofErr w:type="spellEnd"/>
      <w:r w:rsidRPr="0037601A">
        <w:rPr>
          <w:rFonts w:ascii="Garamond" w:hAnsi="Garamond"/>
        </w:rPr>
        <w:t xml:space="preserve"> Yogyakarta</w:t>
      </w:r>
      <w:r>
        <w:rPr>
          <w:rFonts w:ascii="Garamond" w:hAnsi="Garamond"/>
        </w:rPr>
        <w:t>:</w:t>
      </w:r>
      <w:r w:rsidR="00FB0005">
        <w:rPr>
          <w:rFonts w:ascii="Garamond" w:hAnsi="Garamond"/>
        </w:rPr>
        <w:t xml:space="preserve"> </w:t>
      </w:r>
    </w:p>
    <w:p w:rsidR="00CB6862" w:rsidRPr="004C4E0C" w:rsidRDefault="0037601A" w:rsidP="004C4E0C">
      <w:pPr>
        <w:pStyle w:val="NormalWeb"/>
        <w:ind w:firstLine="720"/>
        <w:jc w:val="both"/>
        <w:rPr>
          <w:rFonts w:ascii="Garamond" w:hAnsi="Garamond"/>
        </w:rPr>
      </w:pPr>
      <w:r>
        <w:rPr>
          <w:noProof/>
        </w:rPr>
        <w:drawing>
          <wp:inline distT="0" distB="0" distL="0" distR="0" wp14:anchorId="006F5CD3" wp14:editId="4B48CA44">
            <wp:extent cx="4835347" cy="2371761"/>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38958" cy="2373532"/>
                    </a:xfrm>
                    <a:prstGeom prst="rect">
                      <a:avLst/>
                    </a:prstGeom>
                    <a:noFill/>
                  </pic:spPr>
                </pic:pic>
              </a:graphicData>
            </a:graphic>
          </wp:inline>
        </w:drawing>
      </w:r>
    </w:p>
    <w:p w:rsidR="004C4E0C" w:rsidRDefault="00D74E77" w:rsidP="008F1342">
      <w:pPr>
        <w:ind w:firstLine="720"/>
        <w:jc w:val="both"/>
        <w:rPr>
          <w:rFonts w:ascii="Garamond" w:hAnsi="Garamond" w:cs="Traditional Arabic"/>
          <w:lang w:bidi="ar-EG"/>
        </w:rPr>
      </w:pPr>
      <w:r w:rsidRPr="00CE09C2">
        <w:rPr>
          <w:rFonts w:ascii="Garamond" w:hAnsi="Garamond" w:cs="Traditional Arabic"/>
          <w:lang w:bidi="ar-EG"/>
        </w:rPr>
        <w:t xml:space="preserve">Considering other Islamic universities, such as the State Islamic University of Jakarta, for example, there are also many scientific works that use the living hadith model in Islam, </w:t>
      </w:r>
      <w:r w:rsidRPr="00CE09C2">
        <w:rPr>
          <w:rFonts w:ascii="Garamond" w:hAnsi="Garamond" w:cs="Traditional Arabic"/>
          <w:lang w:bidi="ar-EG"/>
        </w:rPr>
        <w:lastRenderedPageBreak/>
        <w:t xml:space="preserve">such as the title of a doctoral thesis: </w:t>
      </w:r>
      <w:r w:rsidR="00CE09C2">
        <w:rPr>
          <w:rFonts w:ascii="Garamond" w:hAnsi="Garamond" w:cs="Traditional Arabic"/>
          <w:lang w:bidi="ar-EG"/>
        </w:rPr>
        <w:t>“</w:t>
      </w:r>
      <w:r w:rsidRPr="00CE09C2">
        <w:rPr>
          <w:rFonts w:ascii="Garamond" w:hAnsi="Garamond" w:cs="Traditional Arabic"/>
          <w:i/>
          <w:iCs/>
          <w:lang w:bidi="ar-EG"/>
        </w:rPr>
        <w:t xml:space="preserve">Living Hadith </w:t>
      </w:r>
      <w:proofErr w:type="spellStart"/>
      <w:r w:rsidRPr="00CE09C2">
        <w:rPr>
          <w:rFonts w:ascii="Garamond" w:hAnsi="Garamond" w:cs="Traditional Arabic"/>
          <w:i/>
          <w:iCs/>
          <w:lang w:bidi="ar-EG"/>
        </w:rPr>
        <w:t>Pernikahan</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Studi</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Antropologi</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Hadis</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Dalam</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Tradisi</w:t>
      </w:r>
      <w:proofErr w:type="spellEnd"/>
      <w:r w:rsidRPr="00CE09C2">
        <w:rPr>
          <w:rFonts w:ascii="Garamond" w:hAnsi="Garamond" w:cs="Traditional Arabic"/>
          <w:i/>
          <w:iCs/>
          <w:lang w:bidi="ar-EG"/>
        </w:rPr>
        <w:t xml:space="preserve"> Islam </w:t>
      </w:r>
      <w:proofErr w:type="spellStart"/>
      <w:r w:rsidRPr="00CE09C2">
        <w:rPr>
          <w:rFonts w:ascii="Garamond" w:hAnsi="Garamond" w:cs="Traditional Arabic"/>
          <w:i/>
          <w:iCs/>
          <w:lang w:bidi="ar-EG"/>
        </w:rPr>
        <w:t>Sasak</w:t>
      </w:r>
      <w:proofErr w:type="spellEnd"/>
      <w:r w:rsidRPr="00CE09C2">
        <w:rPr>
          <w:rFonts w:ascii="Garamond" w:hAnsi="Garamond" w:cs="Traditional Arabic"/>
          <w:i/>
          <w:iCs/>
          <w:lang w:bidi="ar-EG"/>
        </w:rPr>
        <w:t xml:space="preserve"> Lombok</w:t>
      </w:r>
      <w:r w:rsidR="00CE09C2">
        <w:rPr>
          <w:rFonts w:ascii="Garamond" w:hAnsi="Garamond" w:cs="Traditional Arabic"/>
          <w:lang w:bidi="ar-EG"/>
        </w:rPr>
        <w:t>”</w:t>
      </w:r>
      <w:r w:rsidRPr="00CE09C2">
        <w:rPr>
          <w:rFonts w:ascii="Garamond" w:hAnsi="Garamond" w:cs="Traditional Arabic"/>
          <w:lang w:bidi="ar-EG"/>
        </w:rPr>
        <w:t xml:space="preserve">, written by </w:t>
      </w:r>
      <w:proofErr w:type="spellStart"/>
      <w:r w:rsidRPr="00CE09C2">
        <w:rPr>
          <w:rFonts w:ascii="Garamond" w:hAnsi="Garamond" w:cs="Traditional Arabic"/>
          <w:lang w:bidi="ar-EG"/>
        </w:rPr>
        <w:t>Nimatullah</w:t>
      </w:r>
      <w:proofErr w:type="spellEnd"/>
      <w:r w:rsidRPr="00CE09C2">
        <w:rPr>
          <w:rFonts w:ascii="Garamond" w:hAnsi="Garamond" w:cs="Traditional Arabic"/>
          <w:lang w:bidi="ar-EG"/>
        </w:rPr>
        <w:t xml:space="preserve"> in 2019</w:t>
      </w:r>
      <w:r w:rsidR="00CE09C2">
        <w:rPr>
          <w:rFonts w:ascii="Garamond" w:hAnsi="Garamond" w:cs="Traditional Arabic"/>
          <w:lang w:bidi="ar-EG"/>
        </w:rPr>
        <w:t>,</w:t>
      </w:r>
      <w:r w:rsidR="00FB14E1" w:rsidRPr="00CE09C2">
        <w:rPr>
          <w:rStyle w:val="FootnoteReference"/>
          <w:rFonts w:ascii="Garamond" w:hAnsi="Garamond"/>
          <w:rtl/>
        </w:rPr>
        <w:footnoteReference w:id="49"/>
      </w:r>
      <w:r w:rsidR="00CE09C2">
        <w:rPr>
          <w:rFonts w:ascii="Garamond" w:hAnsi="Garamond" w:cs="Traditional Arabic"/>
          <w:lang w:bidi="ar-EG"/>
        </w:rPr>
        <w:t xml:space="preserve"> t</w:t>
      </w:r>
      <w:r w:rsidRPr="00CE09C2">
        <w:rPr>
          <w:rFonts w:ascii="Garamond" w:hAnsi="Garamond" w:cs="Traditional Arabic"/>
          <w:lang w:bidi="ar-EG"/>
        </w:rPr>
        <w:t xml:space="preserve">here is also a title: </w:t>
      </w:r>
      <w:r w:rsidR="00CE09C2">
        <w:rPr>
          <w:rFonts w:ascii="Garamond" w:hAnsi="Garamond" w:cs="Traditional Arabic"/>
          <w:lang w:bidi="ar-EG"/>
        </w:rPr>
        <w:t>“</w:t>
      </w:r>
      <w:proofErr w:type="spellStart"/>
      <w:r w:rsidRPr="00CE09C2">
        <w:rPr>
          <w:rFonts w:ascii="Garamond" w:hAnsi="Garamond" w:cs="Traditional Arabic"/>
          <w:i/>
          <w:iCs/>
          <w:lang w:bidi="ar-EG"/>
        </w:rPr>
        <w:t>Tradisi</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Pernikahan</w:t>
      </w:r>
      <w:proofErr w:type="spellEnd"/>
      <w:r w:rsidRPr="00CE09C2">
        <w:rPr>
          <w:rFonts w:ascii="Garamond" w:hAnsi="Garamond" w:cs="Traditional Arabic"/>
          <w:i/>
          <w:iCs/>
          <w:lang w:bidi="ar-EG"/>
        </w:rPr>
        <w:t xml:space="preserve"> Di </w:t>
      </w:r>
      <w:proofErr w:type="spellStart"/>
      <w:r w:rsidRPr="00CE09C2">
        <w:rPr>
          <w:rFonts w:ascii="Garamond" w:hAnsi="Garamond" w:cs="Traditional Arabic"/>
          <w:i/>
          <w:iCs/>
          <w:lang w:bidi="ar-EG"/>
        </w:rPr>
        <w:t>Masyarakat</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Payudan</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Karangsokon</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Guluk-Guluk</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S</w:t>
      </w:r>
      <w:r w:rsidR="00CE09C2">
        <w:rPr>
          <w:rFonts w:ascii="Garamond" w:hAnsi="Garamond" w:cs="Traditional Arabic"/>
          <w:i/>
          <w:iCs/>
          <w:lang w:bidi="ar-EG"/>
        </w:rPr>
        <w:t>umenep</w:t>
      </w:r>
      <w:proofErr w:type="spellEnd"/>
      <w:r w:rsidR="00CE09C2" w:rsidRPr="00CE09C2">
        <w:rPr>
          <w:rFonts w:ascii="Garamond" w:hAnsi="Garamond" w:cs="Traditional Arabic"/>
          <w:lang w:bidi="ar-EG"/>
        </w:rPr>
        <w:t>:</w:t>
      </w:r>
      <w:r w:rsidR="00CE09C2">
        <w:rPr>
          <w:rFonts w:ascii="Garamond" w:hAnsi="Garamond" w:cs="Traditional Arabic"/>
          <w:i/>
          <w:iCs/>
          <w:lang w:bidi="ar-EG"/>
        </w:rPr>
        <w:t xml:space="preserve"> </w:t>
      </w:r>
      <w:proofErr w:type="spellStart"/>
      <w:r w:rsidRPr="00CE09C2">
        <w:rPr>
          <w:rFonts w:ascii="Garamond" w:hAnsi="Garamond" w:cs="Traditional Arabic"/>
          <w:i/>
          <w:iCs/>
          <w:lang w:bidi="ar-EG"/>
        </w:rPr>
        <w:t>Kajian</w:t>
      </w:r>
      <w:proofErr w:type="spellEnd"/>
      <w:r w:rsidRPr="00CE09C2">
        <w:rPr>
          <w:rFonts w:ascii="Garamond" w:hAnsi="Garamond" w:cs="Traditional Arabic"/>
          <w:i/>
          <w:iCs/>
          <w:lang w:bidi="ar-EG"/>
        </w:rPr>
        <w:t xml:space="preserve"> Living </w:t>
      </w:r>
      <w:proofErr w:type="spellStart"/>
      <w:r w:rsidRPr="00CE09C2">
        <w:rPr>
          <w:rFonts w:ascii="Garamond" w:hAnsi="Garamond" w:cs="Traditional Arabic"/>
          <w:i/>
          <w:iCs/>
          <w:lang w:bidi="ar-EG"/>
        </w:rPr>
        <w:t>Hadis</w:t>
      </w:r>
      <w:proofErr w:type="spellEnd"/>
      <w:r w:rsidR="00CE09C2">
        <w:rPr>
          <w:rFonts w:ascii="Garamond" w:hAnsi="Garamond" w:cs="Traditional Arabic"/>
          <w:lang w:bidi="ar-EG"/>
        </w:rPr>
        <w:t>”</w:t>
      </w:r>
      <w:r w:rsidRPr="00CE09C2">
        <w:rPr>
          <w:rFonts w:ascii="Garamond" w:hAnsi="Garamond" w:cs="Traditional Arabic"/>
          <w:lang w:bidi="ar-EG"/>
        </w:rPr>
        <w:t xml:space="preserve"> by Ahmad Mahfouz, in 2017</w:t>
      </w:r>
      <w:r w:rsidR="00CE09C2">
        <w:rPr>
          <w:rFonts w:ascii="Garamond" w:hAnsi="Garamond" w:cs="Traditional Arabic"/>
          <w:lang w:bidi="ar-EG"/>
        </w:rPr>
        <w:t>,</w:t>
      </w:r>
      <w:r w:rsidR="00FB14E1" w:rsidRPr="00CE09C2">
        <w:rPr>
          <w:rStyle w:val="FootnoteReference"/>
          <w:rFonts w:ascii="Garamond" w:hAnsi="Garamond"/>
          <w:rtl/>
        </w:rPr>
        <w:footnoteReference w:id="50"/>
      </w:r>
      <w:r w:rsidR="00CE09C2">
        <w:rPr>
          <w:rFonts w:ascii="Garamond" w:hAnsi="Garamond" w:cs="Traditional Arabic"/>
          <w:lang w:bidi="ar-EG"/>
        </w:rPr>
        <w:t xml:space="preserve"> another title: “</w:t>
      </w:r>
      <w:proofErr w:type="spellStart"/>
      <w:r w:rsidRPr="00CE09C2">
        <w:rPr>
          <w:rFonts w:ascii="Garamond" w:hAnsi="Garamond" w:cs="Traditional Arabic"/>
          <w:i/>
          <w:iCs/>
          <w:lang w:bidi="ar-EG"/>
        </w:rPr>
        <w:t>Studi</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Atas</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Fenomena</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Tradisi</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Fidyah</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Salat</w:t>
      </w:r>
      <w:proofErr w:type="spellEnd"/>
      <w:r w:rsidRPr="00CE09C2">
        <w:rPr>
          <w:rFonts w:ascii="Garamond" w:hAnsi="Garamond" w:cs="Traditional Arabic"/>
          <w:i/>
          <w:iCs/>
          <w:lang w:bidi="ar-EG"/>
        </w:rPr>
        <w:t xml:space="preserve"> Dan </w:t>
      </w:r>
      <w:proofErr w:type="spellStart"/>
      <w:r w:rsidRPr="00CE09C2">
        <w:rPr>
          <w:rFonts w:ascii="Garamond" w:hAnsi="Garamond" w:cs="Traditional Arabic"/>
          <w:i/>
          <w:iCs/>
          <w:lang w:bidi="ar-EG"/>
        </w:rPr>
        <w:t>Puasa</w:t>
      </w:r>
      <w:proofErr w:type="spellEnd"/>
      <w:r w:rsidRPr="00CE09C2">
        <w:rPr>
          <w:rFonts w:ascii="Garamond" w:hAnsi="Garamond" w:cs="Traditional Arabic"/>
          <w:i/>
          <w:iCs/>
          <w:lang w:bidi="ar-EG"/>
        </w:rPr>
        <w:t xml:space="preserve"> </w:t>
      </w:r>
      <w:proofErr w:type="spellStart"/>
      <w:r w:rsidRPr="00CE09C2">
        <w:rPr>
          <w:rFonts w:ascii="Garamond" w:hAnsi="Garamond" w:cs="Traditional Arabic"/>
          <w:i/>
          <w:iCs/>
          <w:lang w:bidi="ar-EG"/>
        </w:rPr>
        <w:t>Bag</w:t>
      </w:r>
      <w:r w:rsidR="00CE09C2" w:rsidRPr="00CE09C2">
        <w:rPr>
          <w:rFonts w:ascii="Garamond" w:hAnsi="Garamond" w:cs="Traditional Arabic"/>
          <w:i/>
          <w:iCs/>
          <w:lang w:bidi="ar-EG"/>
        </w:rPr>
        <w:t>i</w:t>
      </w:r>
      <w:proofErr w:type="spellEnd"/>
      <w:r w:rsidR="00CE09C2" w:rsidRPr="00CE09C2">
        <w:rPr>
          <w:rFonts w:ascii="Garamond" w:hAnsi="Garamond" w:cs="Traditional Arabic"/>
          <w:i/>
          <w:iCs/>
          <w:lang w:bidi="ar-EG"/>
        </w:rPr>
        <w:t xml:space="preserve"> Orang </w:t>
      </w:r>
      <w:proofErr w:type="spellStart"/>
      <w:r w:rsidR="00CE09C2" w:rsidRPr="00CE09C2">
        <w:rPr>
          <w:rFonts w:ascii="Garamond" w:hAnsi="Garamond" w:cs="Traditional Arabic"/>
          <w:i/>
          <w:iCs/>
          <w:lang w:bidi="ar-EG"/>
        </w:rPr>
        <w:t>Meninggal</w:t>
      </w:r>
      <w:proofErr w:type="spellEnd"/>
      <w:r w:rsidR="00CE09C2" w:rsidRPr="00CE09C2">
        <w:rPr>
          <w:rFonts w:ascii="Garamond" w:hAnsi="Garamond" w:cs="Traditional Arabic"/>
          <w:i/>
          <w:iCs/>
          <w:lang w:bidi="ar-EG"/>
        </w:rPr>
        <w:t xml:space="preserve"> Di </w:t>
      </w:r>
      <w:proofErr w:type="spellStart"/>
      <w:r w:rsidR="00CE09C2" w:rsidRPr="00CE09C2">
        <w:rPr>
          <w:rFonts w:ascii="Garamond" w:hAnsi="Garamond" w:cs="Traditional Arabic"/>
          <w:i/>
          <w:iCs/>
          <w:lang w:bidi="ar-EG"/>
        </w:rPr>
        <w:t>Indramayu</w:t>
      </w:r>
      <w:proofErr w:type="spellEnd"/>
      <w:r w:rsidR="00CE09C2" w:rsidRPr="00CE09C2">
        <w:rPr>
          <w:rFonts w:ascii="Garamond" w:hAnsi="Garamond" w:cs="Traditional Arabic"/>
          <w:i/>
          <w:iCs/>
          <w:lang w:bidi="ar-EG"/>
        </w:rPr>
        <w:t xml:space="preserve">: </w:t>
      </w:r>
      <w:r w:rsidRPr="00CE09C2">
        <w:rPr>
          <w:rFonts w:ascii="Garamond" w:hAnsi="Garamond" w:cs="Traditional Arabic"/>
          <w:i/>
          <w:iCs/>
          <w:lang w:bidi="ar-EG"/>
        </w:rPr>
        <w:t xml:space="preserve">Living </w:t>
      </w:r>
      <w:proofErr w:type="spellStart"/>
      <w:r w:rsidRPr="00CE09C2">
        <w:rPr>
          <w:rFonts w:ascii="Garamond" w:hAnsi="Garamond" w:cs="Traditional Arabic"/>
          <w:i/>
          <w:iCs/>
          <w:lang w:bidi="ar-EG"/>
        </w:rPr>
        <w:t>Hadis</w:t>
      </w:r>
      <w:proofErr w:type="spellEnd"/>
      <w:r w:rsidR="00CE09C2">
        <w:rPr>
          <w:rFonts w:ascii="Garamond" w:hAnsi="Garamond" w:cs="Traditional Arabic"/>
          <w:lang w:bidi="ar-EG"/>
        </w:rPr>
        <w:t xml:space="preserve">” by </w:t>
      </w:r>
      <w:proofErr w:type="spellStart"/>
      <w:r w:rsidR="00CE09C2">
        <w:rPr>
          <w:rFonts w:ascii="Garamond" w:hAnsi="Garamond" w:cs="Traditional Arabic"/>
          <w:lang w:bidi="ar-EG"/>
        </w:rPr>
        <w:t>Nurkhalis</w:t>
      </w:r>
      <w:proofErr w:type="spellEnd"/>
      <w:r w:rsidR="00CE09C2">
        <w:rPr>
          <w:rFonts w:ascii="Garamond" w:hAnsi="Garamond" w:cs="Traditional Arabic"/>
          <w:lang w:bidi="ar-EG"/>
        </w:rPr>
        <w:t xml:space="preserve"> </w:t>
      </w:r>
      <w:proofErr w:type="spellStart"/>
      <w:r w:rsidR="00CE09C2">
        <w:rPr>
          <w:rFonts w:ascii="Garamond" w:hAnsi="Garamond" w:cs="Traditional Arabic"/>
          <w:lang w:bidi="ar-EG"/>
        </w:rPr>
        <w:t>Safwan</w:t>
      </w:r>
      <w:proofErr w:type="spellEnd"/>
      <w:r w:rsidRPr="00CE09C2">
        <w:rPr>
          <w:rFonts w:ascii="Garamond" w:hAnsi="Garamond" w:cs="Traditional Arabic"/>
          <w:lang w:bidi="ar-EG"/>
        </w:rPr>
        <w:t xml:space="preserve"> in 2018</w:t>
      </w:r>
      <w:r w:rsidR="00CE09C2">
        <w:rPr>
          <w:rFonts w:ascii="Garamond" w:hAnsi="Garamond" w:cs="Traditional Arabic"/>
          <w:lang w:bidi="ar-EG"/>
        </w:rPr>
        <w:t>,</w:t>
      </w:r>
      <w:r w:rsidR="00FB14E1" w:rsidRPr="00CE09C2">
        <w:rPr>
          <w:rStyle w:val="FootnoteReference"/>
          <w:rFonts w:ascii="Garamond" w:hAnsi="Garamond"/>
          <w:rtl/>
        </w:rPr>
        <w:footnoteReference w:id="51"/>
      </w:r>
      <w:r w:rsidR="004C4E0C">
        <w:rPr>
          <w:rFonts w:ascii="Garamond" w:hAnsi="Garamond" w:cs="Traditional Arabic"/>
          <w:lang w:bidi="ar-EG"/>
        </w:rPr>
        <w:t xml:space="preserve"> “</w:t>
      </w:r>
      <w:proofErr w:type="spellStart"/>
      <w:r w:rsidR="00FB14E1" w:rsidRPr="00CE09C2">
        <w:rPr>
          <w:rFonts w:ascii="Garamond" w:hAnsi="Garamond" w:cstheme="majorBidi"/>
          <w:i/>
          <w:iCs/>
          <w:lang w:bidi="ar-EG"/>
        </w:rPr>
        <w:t>Tradisi</w:t>
      </w:r>
      <w:proofErr w:type="spellEnd"/>
      <w:r w:rsidR="00FB14E1" w:rsidRPr="00CE09C2">
        <w:rPr>
          <w:rFonts w:ascii="Garamond" w:hAnsi="Garamond" w:cstheme="majorBidi"/>
          <w:i/>
          <w:iCs/>
          <w:lang w:bidi="ar-EG"/>
        </w:rPr>
        <w:t xml:space="preserve"> </w:t>
      </w:r>
      <w:proofErr w:type="spellStart"/>
      <w:r w:rsidR="00FB14E1" w:rsidRPr="00CE09C2">
        <w:rPr>
          <w:rFonts w:ascii="Garamond" w:hAnsi="Garamond" w:cstheme="majorBidi"/>
          <w:i/>
          <w:iCs/>
          <w:lang w:bidi="ar-EG"/>
        </w:rPr>
        <w:t>Kenduri</w:t>
      </w:r>
      <w:proofErr w:type="spellEnd"/>
      <w:r w:rsidR="00FB14E1" w:rsidRPr="00CE09C2">
        <w:rPr>
          <w:rFonts w:ascii="Garamond" w:hAnsi="Garamond" w:cstheme="majorBidi"/>
          <w:i/>
          <w:iCs/>
          <w:rtl/>
          <w:lang w:bidi="ar-EG"/>
        </w:rPr>
        <w:t xml:space="preserve"> </w:t>
      </w:r>
      <w:proofErr w:type="spellStart"/>
      <w:r w:rsidR="00FB14E1" w:rsidRPr="00CE09C2">
        <w:rPr>
          <w:rFonts w:ascii="Garamond" w:hAnsi="Garamond" w:cstheme="majorBidi"/>
          <w:i/>
          <w:iCs/>
          <w:lang w:bidi="ar-EG"/>
        </w:rPr>
        <w:t>Arwah</w:t>
      </w:r>
      <w:proofErr w:type="spellEnd"/>
      <w:r w:rsidR="00FB14E1" w:rsidRPr="00CE09C2">
        <w:rPr>
          <w:rFonts w:ascii="Garamond" w:hAnsi="Garamond" w:cstheme="majorBidi"/>
          <w:i/>
          <w:iCs/>
          <w:lang w:bidi="ar-EG"/>
        </w:rPr>
        <w:t xml:space="preserve"> Di </w:t>
      </w:r>
      <w:proofErr w:type="spellStart"/>
      <w:r w:rsidR="00FB14E1" w:rsidRPr="00CE09C2">
        <w:rPr>
          <w:rFonts w:ascii="Garamond" w:hAnsi="Garamond" w:cstheme="majorBidi"/>
          <w:i/>
          <w:iCs/>
          <w:lang w:bidi="ar-EG"/>
        </w:rPr>
        <w:t>Desa</w:t>
      </w:r>
      <w:proofErr w:type="spellEnd"/>
      <w:r w:rsidR="00FB14E1" w:rsidRPr="00CE09C2">
        <w:rPr>
          <w:rFonts w:ascii="Garamond" w:hAnsi="Garamond" w:cstheme="majorBidi"/>
          <w:i/>
          <w:iCs/>
          <w:lang w:bidi="ar-EG"/>
        </w:rPr>
        <w:t xml:space="preserve"> </w:t>
      </w:r>
      <w:proofErr w:type="spellStart"/>
      <w:r w:rsidR="00FB14E1" w:rsidRPr="00CE09C2">
        <w:rPr>
          <w:rFonts w:ascii="Garamond" w:hAnsi="Garamond" w:cstheme="majorBidi"/>
          <w:i/>
          <w:iCs/>
          <w:lang w:bidi="ar-EG"/>
        </w:rPr>
        <w:t>Labu</w:t>
      </w:r>
      <w:r w:rsidR="00CE09C2">
        <w:rPr>
          <w:rFonts w:ascii="Garamond" w:hAnsi="Garamond" w:cstheme="majorBidi"/>
          <w:i/>
          <w:iCs/>
          <w:lang w:bidi="ar-EG"/>
        </w:rPr>
        <w:t>han</w:t>
      </w:r>
      <w:proofErr w:type="spellEnd"/>
      <w:r w:rsidR="00CE09C2">
        <w:rPr>
          <w:rFonts w:ascii="Garamond" w:hAnsi="Garamond" w:cstheme="majorBidi"/>
          <w:i/>
          <w:iCs/>
          <w:lang w:bidi="ar-EG"/>
        </w:rPr>
        <w:t xml:space="preserve"> </w:t>
      </w:r>
      <w:proofErr w:type="spellStart"/>
      <w:r w:rsidR="00CE09C2">
        <w:rPr>
          <w:rFonts w:ascii="Garamond" w:hAnsi="Garamond" w:cstheme="majorBidi"/>
          <w:i/>
          <w:iCs/>
          <w:lang w:bidi="ar-EG"/>
        </w:rPr>
        <w:t>Papan</w:t>
      </w:r>
      <w:proofErr w:type="spellEnd"/>
      <w:r w:rsidR="00CE09C2">
        <w:rPr>
          <w:rFonts w:ascii="Garamond" w:hAnsi="Garamond" w:cstheme="majorBidi"/>
          <w:i/>
          <w:iCs/>
          <w:lang w:bidi="ar-EG"/>
        </w:rPr>
        <w:t xml:space="preserve"> </w:t>
      </w:r>
      <w:proofErr w:type="spellStart"/>
      <w:r w:rsidR="00CE09C2">
        <w:rPr>
          <w:rFonts w:ascii="Garamond" w:hAnsi="Garamond" w:cstheme="majorBidi"/>
          <w:i/>
          <w:iCs/>
          <w:lang w:bidi="ar-EG"/>
        </w:rPr>
        <w:t>Kabupaten</w:t>
      </w:r>
      <w:proofErr w:type="spellEnd"/>
      <w:r w:rsidR="00CE09C2">
        <w:rPr>
          <w:rFonts w:ascii="Garamond" w:hAnsi="Garamond" w:cstheme="majorBidi"/>
          <w:i/>
          <w:iCs/>
          <w:lang w:bidi="ar-EG"/>
        </w:rPr>
        <w:t xml:space="preserve"> </w:t>
      </w:r>
      <w:proofErr w:type="spellStart"/>
      <w:r w:rsidR="00CE09C2">
        <w:rPr>
          <w:rFonts w:ascii="Garamond" w:hAnsi="Garamond" w:cstheme="majorBidi"/>
          <w:i/>
          <w:iCs/>
          <w:lang w:bidi="ar-EG"/>
        </w:rPr>
        <w:t>Rokan</w:t>
      </w:r>
      <w:proofErr w:type="spellEnd"/>
      <w:r w:rsidR="00CE09C2">
        <w:rPr>
          <w:rFonts w:ascii="Garamond" w:hAnsi="Garamond" w:cstheme="majorBidi"/>
          <w:i/>
          <w:iCs/>
          <w:lang w:bidi="ar-EG"/>
        </w:rPr>
        <w:t xml:space="preserve"> </w:t>
      </w:r>
      <w:proofErr w:type="spellStart"/>
      <w:r w:rsidR="00CE09C2">
        <w:rPr>
          <w:rFonts w:ascii="Garamond" w:hAnsi="Garamond" w:cstheme="majorBidi"/>
          <w:i/>
          <w:iCs/>
          <w:lang w:bidi="ar-EG"/>
        </w:rPr>
        <w:t>Hilir</w:t>
      </w:r>
      <w:proofErr w:type="spellEnd"/>
      <w:r w:rsidR="00CE09C2">
        <w:rPr>
          <w:rFonts w:ascii="Garamond" w:hAnsi="Garamond" w:cstheme="majorBidi"/>
          <w:i/>
          <w:iCs/>
          <w:lang w:bidi="ar-EG"/>
        </w:rPr>
        <w:t xml:space="preserve">: </w:t>
      </w:r>
      <w:proofErr w:type="spellStart"/>
      <w:r w:rsidR="00FB14E1" w:rsidRPr="00CE09C2">
        <w:rPr>
          <w:rFonts w:ascii="Garamond" w:hAnsi="Garamond" w:cstheme="majorBidi"/>
          <w:i/>
          <w:iCs/>
          <w:lang w:bidi="ar-EG"/>
        </w:rPr>
        <w:t>Studi</w:t>
      </w:r>
      <w:proofErr w:type="spellEnd"/>
      <w:r w:rsidR="00FB14E1" w:rsidRPr="00CE09C2">
        <w:rPr>
          <w:rFonts w:ascii="Garamond" w:hAnsi="Garamond" w:cstheme="majorBidi"/>
          <w:i/>
          <w:iCs/>
          <w:lang w:bidi="ar-EG"/>
        </w:rPr>
        <w:t xml:space="preserve"> Living </w:t>
      </w:r>
      <w:proofErr w:type="spellStart"/>
      <w:r w:rsidR="00FB14E1" w:rsidRPr="00CE09C2">
        <w:rPr>
          <w:rFonts w:ascii="Garamond" w:hAnsi="Garamond" w:cstheme="majorBidi"/>
          <w:i/>
          <w:iCs/>
          <w:lang w:bidi="ar-EG"/>
        </w:rPr>
        <w:t>Hadis</w:t>
      </w:r>
      <w:proofErr w:type="spellEnd"/>
      <w:r w:rsidR="00CE09C2" w:rsidRPr="00CE09C2">
        <w:rPr>
          <w:rFonts w:ascii="Garamond" w:hAnsi="Garamond" w:cstheme="majorBidi"/>
          <w:lang w:bidi="ar-EG"/>
        </w:rPr>
        <w:t>”</w:t>
      </w:r>
      <w:r w:rsidR="00CE09C2" w:rsidRPr="00CE09C2">
        <w:rPr>
          <w:rFonts w:ascii="Garamond" w:hAnsi="Garamond" w:cs="Traditional Arabic"/>
          <w:lang w:bidi="ar-EG"/>
        </w:rPr>
        <w:t xml:space="preserve"> </w:t>
      </w:r>
      <w:r w:rsidR="00CE09C2">
        <w:rPr>
          <w:rFonts w:ascii="Garamond" w:hAnsi="Garamond" w:cs="Traditional Arabic"/>
          <w:lang w:bidi="ar-EG"/>
        </w:rPr>
        <w:t xml:space="preserve">by Muhammad </w:t>
      </w:r>
      <w:proofErr w:type="spellStart"/>
      <w:r w:rsidR="00CE09C2">
        <w:rPr>
          <w:rFonts w:ascii="Garamond" w:hAnsi="Garamond" w:cs="Traditional Arabic"/>
          <w:lang w:bidi="ar-EG"/>
        </w:rPr>
        <w:t>Solihin</w:t>
      </w:r>
      <w:proofErr w:type="spellEnd"/>
      <w:r w:rsidR="004C4E0C">
        <w:rPr>
          <w:rFonts w:ascii="Garamond" w:hAnsi="Garamond" w:cs="Traditional Arabic"/>
          <w:lang w:bidi="ar-EG"/>
        </w:rPr>
        <w:t>,</w:t>
      </w:r>
      <w:r w:rsidR="00FB14E1" w:rsidRPr="00CE09C2">
        <w:rPr>
          <w:rStyle w:val="FootnoteReference"/>
          <w:rFonts w:ascii="Garamond" w:hAnsi="Garamond"/>
          <w:rtl/>
        </w:rPr>
        <w:footnoteReference w:id="52"/>
      </w:r>
      <w:r w:rsidR="004C4E0C">
        <w:rPr>
          <w:rFonts w:ascii="Garamond" w:hAnsi="Garamond" w:cs="Traditional Arabic"/>
          <w:lang w:bidi="ar-EG"/>
        </w:rPr>
        <w:t xml:space="preserve"> and “</w:t>
      </w:r>
      <w:r w:rsidR="00FB14E1" w:rsidRPr="00CE09C2">
        <w:rPr>
          <w:rFonts w:ascii="Garamond" w:eastAsia="Times New Roman" w:hAnsi="Garamond" w:cstheme="majorBidi"/>
          <w:i/>
          <w:iCs/>
        </w:rPr>
        <w:t xml:space="preserve">Living </w:t>
      </w:r>
      <w:proofErr w:type="spellStart"/>
      <w:r w:rsidR="00FB14E1" w:rsidRPr="00CE09C2">
        <w:rPr>
          <w:rFonts w:ascii="Garamond" w:eastAsia="Times New Roman" w:hAnsi="Garamond" w:cstheme="majorBidi"/>
          <w:i/>
          <w:iCs/>
        </w:rPr>
        <w:t>Hadis</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Studi</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Atas</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Fenomena</w:t>
      </w:r>
      <w:proofErr w:type="spellEnd"/>
      <w:r w:rsidR="00FB14E1" w:rsidRPr="00CE09C2">
        <w:rPr>
          <w:rFonts w:ascii="Garamond" w:eastAsia="Times New Roman" w:hAnsi="Garamond" w:cstheme="majorBidi"/>
          <w:i/>
          <w:iCs/>
          <w:rtl/>
        </w:rPr>
        <w:t xml:space="preserve"> </w:t>
      </w:r>
      <w:proofErr w:type="spellStart"/>
      <w:r w:rsidR="00FB14E1" w:rsidRPr="00CE09C2">
        <w:rPr>
          <w:rFonts w:ascii="Garamond" w:eastAsia="Times New Roman" w:hAnsi="Garamond" w:cstheme="majorBidi"/>
          <w:i/>
          <w:iCs/>
        </w:rPr>
        <w:t>Kegiatan</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Simaan</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Alquran</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Jantiko</w:t>
      </w:r>
      <w:proofErr w:type="spellEnd"/>
      <w:r w:rsidR="00FB14E1" w:rsidRPr="00CE09C2">
        <w:rPr>
          <w:rFonts w:ascii="Garamond" w:eastAsia="Times New Roman" w:hAnsi="Garamond" w:cstheme="majorBidi"/>
          <w:i/>
          <w:iCs/>
        </w:rPr>
        <w:t xml:space="preserve"> </w:t>
      </w:r>
      <w:proofErr w:type="spellStart"/>
      <w:r w:rsidR="00FB14E1" w:rsidRPr="00CE09C2">
        <w:rPr>
          <w:rFonts w:ascii="Garamond" w:eastAsia="Times New Roman" w:hAnsi="Garamond" w:cstheme="majorBidi"/>
          <w:i/>
          <w:iCs/>
        </w:rPr>
        <w:t>Mantab</w:t>
      </w:r>
      <w:proofErr w:type="spellEnd"/>
      <w:r w:rsidR="00FB14E1" w:rsidRPr="00CE09C2">
        <w:rPr>
          <w:rFonts w:ascii="Garamond" w:eastAsia="Times New Roman" w:hAnsi="Garamond" w:cstheme="majorBidi"/>
          <w:i/>
          <w:iCs/>
        </w:rPr>
        <w:t xml:space="preserve"> di </w:t>
      </w:r>
      <w:proofErr w:type="spellStart"/>
      <w:r w:rsidR="00FB14E1" w:rsidRPr="00CE09C2">
        <w:rPr>
          <w:rFonts w:ascii="Garamond" w:eastAsia="Times New Roman" w:hAnsi="Garamond" w:cstheme="majorBidi"/>
          <w:i/>
          <w:iCs/>
        </w:rPr>
        <w:t>Kabupaten</w:t>
      </w:r>
      <w:proofErr w:type="spellEnd"/>
      <w:r w:rsidR="00FB14E1" w:rsidRPr="00CE09C2">
        <w:rPr>
          <w:rFonts w:ascii="Garamond" w:eastAsia="Times New Roman" w:hAnsi="Garamond" w:cstheme="majorBidi"/>
          <w:i/>
          <w:iCs/>
        </w:rPr>
        <w:t xml:space="preserve"> Mesuji</w:t>
      </w:r>
      <w:r w:rsidR="004C4E0C">
        <w:rPr>
          <w:rFonts w:ascii="Garamond" w:eastAsia="Times New Roman" w:hAnsi="Garamond" w:cstheme="majorBidi"/>
          <w:i/>
          <w:iCs/>
        </w:rPr>
        <w:t xml:space="preserve"> </w:t>
      </w:r>
      <w:r w:rsidR="004C4E0C">
        <w:rPr>
          <w:rFonts w:ascii="Garamond" w:eastAsia="Times New Roman" w:hAnsi="Garamond" w:cstheme="majorBidi"/>
        </w:rPr>
        <w:t xml:space="preserve">by M. </w:t>
      </w:r>
      <w:proofErr w:type="spellStart"/>
      <w:r w:rsidR="004C4E0C">
        <w:rPr>
          <w:rFonts w:ascii="Garamond" w:eastAsia="Times New Roman" w:hAnsi="Garamond" w:cstheme="majorBidi"/>
        </w:rPr>
        <w:t>Zainur</w:t>
      </w:r>
      <w:proofErr w:type="spellEnd"/>
      <w:r w:rsidR="004C4E0C">
        <w:rPr>
          <w:rFonts w:ascii="Garamond" w:eastAsia="Times New Roman" w:hAnsi="Garamond" w:cstheme="majorBidi"/>
        </w:rPr>
        <w:t xml:space="preserve"> </w:t>
      </w:r>
      <w:proofErr w:type="spellStart"/>
      <w:r w:rsidR="004C4E0C">
        <w:rPr>
          <w:rFonts w:ascii="Garamond" w:eastAsia="Times New Roman" w:hAnsi="Garamond" w:cstheme="majorBidi"/>
        </w:rPr>
        <w:t>Rohman</w:t>
      </w:r>
      <w:proofErr w:type="spellEnd"/>
      <w:r w:rsidR="004C4E0C">
        <w:rPr>
          <w:rFonts w:ascii="Garamond" w:hAnsi="Garamond" w:cs="Traditional Arabic"/>
          <w:lang w:bidi="ar-EG"/>
        </w:rPr>
        <w:t>.</w:t>
      </w:r>
      <w:r w:rsidR="00FB14E1" w:rsidRPr="00CE09C2">
        <w:rPr>
          <w:rStyle w:val="FootnoteReference"/>
          <w:rFonts w:ascii="Garamond" w:hAnsi="Garamond"/>
          <w:rtl/>
        </w:rPr>
        <w:footnoteReference w:id="53"/>
      </w:r>
      <w:r w:rsidR="004C4E0C" w:rsidRPr="004C4E0C">
        <w:t xml:space="preserve"> </w:t>
      </w:r>
      <w:r w:rsidR="004C4E0C" w:rsidRPr="004C4E0C">
        <w:rPr>
          <w:rFonts w:ascii="Garamond" w:hAnsi="Garamond" w:cs="Traditional Arabic"/>
          <w:lang w:bidi="ar-EG"/>
        </w:rPr>
        <w:t>These are some other theses from other Islamic universities. Furthermore, if the number of Islamic universities throughout Indonesia is examined, the number will certainly be more significant.</w:t>
      </w:r>
      <w:r w:rsidR="004E5AE8">
        <w:rPr>
          <w:rFonts w:ascii="Garamond" w:hAnsi="Garamond" w:cs="Traditional Arabic"/>
          <w:lang w:bidi="ar-EG"/>
        </w:rPr>
        <w:t xml:space="preserve"> </w:t>
      </w:r>
    </w:p>
    <w:p w:rsidR="004C4E0C" w:rsidRDefault="004C4E0C" w:rsidP="004C4E0C">
      <w:pPr>
        <w:ind w:firstLine="720"/>
        <w:jc w:val="both"/>
        <w:rPr>
          <w:rFonts w:ascii="Garamond" w:hAnsi="Garamond" w:cs="Traditional Arabic"/>
          <w:lang w:bidi="ar-EG"/>
        </w:rPr>
      </w:pPr>
      <w:r w:rsidRPr="004C4E0C">
        <w:rPr>
          <w:rFonts w:ascii="Garamond" w:hAnsi="Garamond" w:cs="Traditional Arabic"/>
          <w:lang w:bidi="ar-EG"/>
        </w:rPr>
        <w:t>This was not limited to academic theses written by university students. The concept of “Living Hadith” as a model for research in community practice has been written about in numerous academic articles.</w:t>
      </w:r>
      <w:r w:rsidR="006F662B">
        <w:rPr>
          <w:rFonts w:ascii="Garamond" w:hAnsi="Garamond" w:cs="Traditional Arabic"/>
          <w:lang w:bidi="ar-EG"/>
        </w:rPr>
        <w:t xml:space="preserve"> </w:t>
      </w:r>
      <w:r w:rsidR="006F662B" w:rsidRPr="006F662B">
        <w:rPr>
          <w:rFonts w:ascii="Garamond" w:hAnsi="Garamond" w:cs="Traditional Arabic"/>
          <w:lang w:bidi="ar-EG"/>
        </w:rPr>
        <w:t xml:space="preserve">According to research by </w:t>
      </w:r>
      <w:proofErr w:type="spellStart"/>
      <w:r w:rsidR="006F662B" w:rsidRPr="006F662B">
        <w:rPr>
          <w:rFonts w:ascii="Garamond" w:hAnsi="Garamond" w:cs="Traditional Arabic"/>
          <w:lang w:bidi="ar-EG"/>
        </w:rPr>
        <w:t>Edriagus</w:t>
      </w:r>
      <w:proofErr w:type="spellEnd"/>
      <w:r w:rsidR="006F662B" w:rsidRPr="006F662B">
        <w:rPr>
          <w:rFonts w:ascii="Garamond" w:hAnsi="Garamond" w:cs="Traditional Arabic"/>
          <w:lang w:bidi="ar-EG"/>
        </w:rPr>
        <w:t xml:space="preserve"> </w:t>
      </w:r>
      <w:proofErr w:type="spellStart"/>
      <w:r w:rsidR="006F662B" w:rsidRPr="006F662B">
        <w:rPr>
          <w:rFonts w:ascii="Garamond" w:hAnsi="Garamond" w:cs="Traditional Arabic"/>
          <w:lang w:bidi="ar-EG"/>
        </w:rPr>
        <w:t>Saputra</w:t>
      </w:r>
      <w:proofErr w:type="spellEnd"/>
      <w:r w:rsidR="006F662B" w:rsidRPr="006F662B">
        <w:rPr>
          <w:rFonts w:ascii="Garamond" w:hAnsi="Garamond" w:cs="Traditional Arabic"/>
          <w:lang w:bidi="ar-EG"/>
        </w:rPr>
        <w:t xml:space="preserve"> and colleagues, based on Dimension Website, the study of Living Hadith did indeed increase in 2022 and then dropped the subsequent year.</w:t>
      </w:r>
      <w:r w:rsidR="008671E9">
        <w:rPr>
          <w:rStyle w:val="FootnoteReference"/>
          <w:rFonts w:ascii="Garamond" w:hAnsi="Garamond" w:cs="Traditional Arabic"/>
          <w:lang w:bidi="ar-EG"/>
        </w:rPr>
        <w:footnoteReference w:id="54"/>
      </w:r>
      <w:r w:rsidR="006F662B" w:rsidRPr="006F662B">
        <w:rPr>
          <w:rFonts w:ascii="Garamond" w:hAnsi="Garamond" w:cs="Traditional Arabic"/>
          <w:lang w:bidi="ar-EG"/>
        </w:rPr>
        <w:t xml:space="preserve"> This data is similar to the data previously explained by the authors, indicating that studies on the Living Hadith in the form of scientific theses for undergraduate degrees and scientific articles published in academic journals experienced an increase and were in high interest among researchers.</w:t>
      </w:r>
    </w:p>
    <w:p w:rsidR="000E754F" w:rsidRDefault="008671E9" w:rsidP="000E754F">
      <w:pPr>
        <w:ind w:firstLine="720"/>
        <w:jc w:val="both"/>
        <w:rPr>
          <w:rFonts w:ascii="Garamond" w:hAnsi="Garamond" w:cs="Traditional Arabic"/>
          <w:lang w:bidi="ar-EG"/>
        </w:rPr>
      </w:pPr>
      <w:r w:rsidRPr="008671E9">
        <w:rPr>
          <w:rFonts w:ascii="Garamond" w:hAnsi="Garamond" w:cs="Traditional Arabic"/>
          <w:lang w:bidi="ar-EG"/>
        </w:rPr>
        <w:t>In this article, the authors will list two examples of living Hadith research models that have been published in journal articles, as new models for studying</w:t>
      </w:r>
      <w:r>
        <w:rPr>
          <w:rFonts w:ascii="Garamond" w:hAnsi="Garamond" w:cs="Traditional Arabic"/>
          <w:lang w:bidi="ar-EG"/>
        </w:rPr>
        <w:t xml:space="preserve"> Hadith in Indonesia:</w:t>
      </w:r>
    </w:p>
    <w:p w:rsidR="0072192D" w:rsidRDefault="0072192D" w:rsidP="004C4E0C">
      <w:pPr>
        <w:ind w:firstLine="720"/>
        <w:jc w:val="both"/>
        <w:rPr>
          <w:rFonts w:ascii="Garamond" w:hAnsi="Garamond" w:cs="Traditional Arabic"/>
          <w:lang w:bidi="ar-EG"/>
        </w:rPr>
      </w:pPr>
    </w:p>
    <w:p w:rsidR="00FB14E1" w:rsidRPr="002A42D2" w:rsidRDefault="0072192D" w:rsidP="000E754F">
      <w:pPr>
        <w:pStyle w:val="ListParagraph"/>
        <w:numPr>
          <w:ilvl w:val="0"/>
          <w:numId w:val="3"/>
        </w:numPr>
        <w:ind w:left="720"/>
        <w:jc w:val="both"/>
        <w:rPr>
          <w:rFonts w:ascii="Garamond" w:hAnsi="Garamond" w:cs="Traditional Arabic"/>
          <w:b/>
          <w:bCs/>
          <w:i/>
          <w:iCs/>
          <w:lang w:bidi="ar-EG"/>
        </w:rPr>
      </w:pPr>
      <w:proofErr w:type="spellStart"/>
      <w:r w:rsidRPr="002A42D2">
        <w:rPr>
          <w:rFonts w:ascii="Garamond" w:hAnsi="Garamond" w:cs="Traditional Arabic"/>
          <w:b/>
          <w:bCs/>
          <w:i/>
          <w:iCs/>
          <w:lang w:bidi="ar-EG"/>
        </w:rPr>
        <w:t>Mafhūm</w:t>
      </w:r>
      <w:proofErr w:type="spellEnd"/>
      <w:r w:rsidRPr="002A42D2">
        <w:rPr>
          <w:rFonts w:ascii="Garamond" w:hAnsi="Garamond" w:cs="Traditional Arabic"/>
          <w:b/>
          <w:bCs/>
          <w:i/>
          <w:iCs/>
          <w:lang w:bidi="ar-EG"/>
        </w:rPr>
        <w:t xml:space="preserve"> Al-</w:t>
      </w:r>
      <w:proofErr w:type="spellStart"/>
      <w:r w:rsidRPr="002A42D2">
        <w:rPr>
          <w:rFonts w:ascii="Times New Roman" w:hAnsi="Times New Roman" w:cs="Times New Roman"/>
          <w:b/>
          <w:bCs/>
          <w:i/>
          <w:iCs/>
          <w:lang w:bidi="ar-EG"/>
        </w:rPr>
        <w:t>Ṣ</w:t>
      </w:r>
      <w:r w:rsidRPr="002A42D2">
        <w:rPr>
          <w:rFonts w:ascii="Garamond" w:hAnsi="Garamond" w:cs="Traditional Arabic"/>
          <w:b/>
          <w:bCs/>
          <w:i/>
          <w:iCs/>
          <w:lang w:bidi="ar-EG"/>
        </w:rPr>
        <w:t>alawāt</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inda</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Majmū‘at</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Joged</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Shalawat</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Mataram</w:t>
      </w:r>
      <w:proofErr w:type="spellEnd"/>
    </w:p>
    <w:p w:rsidR="00FB14E1" w:rsidRPr="000E754F" w:rsidRDefault="005C5D9C" w:rsidP="005C31FD">
      <w:pPr>
        <w:ind w:left="14" w:firstLine="706"/>
        <w:jc w:val="both"/>
        <w:rPr>
          <w:rFonts w:ascii="Garamond" w:hAnsi="Garamond" w:cs="Traditional Arabic"/>
          <w:lang w:bidi="ar-EG"/>
        </w:rPr>
      </w:pPr>
      <w:proofErr w:type="spellStart"/>
      <w:r w:rsidRPr="000E754F">
        <w:rPr>
          <w:rFonts w:ascii="Garamond" w:hAnsi="Garamond" w:cs="Traditional Arabic"/>
          <w:lang w:bidi="ar-EG"/>
        </w:rPr>
        <w:t>Joged</w:t>
      </w:r>
      <w:proofErr w:type="spellEnd"/>
      <w:r w:rsidRPr="000E754F">
        <w:rPr>
          <w:rFonts w:ascii="Garamond" w:hAnsi="Garamond" w:cs="Traditional Arabic"/>
          <w:lang w:bidi="ar-EG"/>
        </w:rPr>
        <w:t xml:space="preserve"> </w:t>
      </w:r>
      <w:proofErr w:type="spellStart"/>
      <w:r w:rsidR="000E754F">
        <w:rPr>
          <w:rFonts w:ascii="Garamond" w:hAnsi="Garamond" w:cs="Traditional Arabic"/>
          <w:lang w:bidi="ar-EG"/>
        </w:rPr>
        <w:t>Shalawāt</w:t>
      </w:r>
      <w:proofErr w:type="spellEnd"/>
      <w:r w:rsidR="000E754F">
        <w:rPr>
          <w:rFonts w:ascii="Garamond" w:hAnsi="Garamond" w:cs="Traditional Arabic"/>
          <w:lang w:bidi="ar-EG"/>
        </w:rPr>
        <w:t xml:space="preserve"> </w:t>
      </w:r>
      <w:proofErr w:type="spellStart"/>
      <w:r w:rsidRPr="000E754F">
        <w:rPr>
          <w:rFonts w:ascii="Garamond" w:hAnsi="Garamond" w:cs="Traditional Arabic"/>
          <w:lang w:bidi="ar-EG"/>
        </w:rPr>
        <w:t>Mataram</w:t>
      </w:r>
      <w:proofErr w:type="spellEnd"/>
      <w:r w:rsidRPr="000E754F">
        <w:rPr>
          <w:rFonts w:ascii="Garamond" w:hAnsi="Garamond" w:cs="Traditional Arabic"/>
          <w:lang w:bidi="ar-EG"/>
        </w:rPr>
        <w:t xml:space="preserve"> is a spiritual dance that originated in the </w:t>
      </w:r>
      <w:proofErr w:type="spellStart"/>
      <w:r w:rsidRPr="000E754F">
        <w:rPr>
          <w:rFonts w:ascii="Garamond" w:hAnsi="Garamond" w:cs="Traditional Arabic"/>
          <w:lang w:bidi="ar-EG"/>
        </w:rPr>
        <w:t>Mataram</w:t>
      </w:r>
      <w:proofErr w:type="spellEnd"/>
      <w:r w:rsidRPr="000E754F">
        <w:rPr>
          <w:rFonts w:ascii="Garamond" w:hAnsi="Garamond" w:cs="Traditional Arabic"/>
          <w:lang w:bidi="ar-EG"/>
        </w:rPr>
        <w:t xml:space="preserve"> Sultanate of Yogyakarta</w:t>
      </w:r>
      <w:r w:rsidR="000E754F">
        <w:rPr>
          <w:rFonts w:ascii="Garamond" w:hAnsi="Garamond" w:cs="Traditional Arabic"/>
          <w:lang w:bidi="ar-EG"/>
        </w:rPr>
        <w:t>,</w:t>
      </w:r>
      <w:r w:rsidR="00FB14E1" w:rsidRPr="000E754F">
        <w:rPr>
          <w:rStyle w:val="FootnoteReference"/>
          <w:rFonts w:ascii="Garamond" w:hAnsi="Garamond"/>
          <w:rtl/>
        </w:rPr>
        <w:footnoteReference w:id="55"/>
      </w:r>
      <w:r w:rsidR="00FB14E1" w:rsidRPr="000E754F">
        <w:rPr>
          <w:rFonts w:ascii="Garamond" w:hAnsi="Garamond" w:cs="Traditional Arabic"/>
          <w:rtl/>
          <w:lang w:bidi="ar-EG"/>
        </w:rPr>
        <w:t xml:space="preserve"> </w:t>
      </w:r>
      <w:r w:rsidR="000E754F" w:rsidRPr="000E754F">
        <w:rPr>
          <w:rFonts w:ascii="Garamond" w:hAnsi="Garamond" w:cs="Traditional Arabic"/>
          <w:lang w:bidi="ar-EG"/>
        </w:rPr>
        <w:t xml:space="preserve">According to Muhammad </w:t>
      </w:r>
      <w:proofErr w:type="spellStart"/>
      <w:r w:rsidR="000E754F" w:rsidRPr="000E754F">
        <w:rPr>
          <w:rFonts w:ascii="Garamond" w:hAnsi="Garamond" w:cs="Traditional Arabic"/>
          <w:lang w:bidi="ar-EG"/>
        </w:rPr>
        <w:t>Fatih</w:t>
      </w:r>
      <w:proofErr w:type="spellEnd"/>
      <w:r w:rsidR="000E754F" w:rsidRPr="000E754F">
        <w:rPr>
          <w:rFonts w:ascii="Garamond" w:hAnsi="Garamond" w:cs="Traditional Arabic"/>
          <w:lang w:bidi="ar-EG"/>
        </w:rPr>
        <w:t xml:space="preserve"> </w:t>
      </w:r>
      <w:proofErr w:type="spellStart"/>
      <w:r w:rsidR="000E754F" w:rsidRPr="000E754F">
        <w:rPr>
          <w:rFonts w:ascii="Garamond" w:hAnsi="Garamond" w:cs="Traditional Arabic"/>
          <w:lang w:bidi="ar-EG"/>
        </w:rPr>
        <w:t>Suryadilaja</w:t>
      </w:r>
      <w:proofErr w:type="spellEnd"/>
      <w:r w:rsidR="000E754F" w:rsidRPr="000E754F">
        <w:rPr>
          <w:rFonts w:ascii="Garamond" w:hAnsi="Garamond" w:cs="Traditional Arabic"/>
          <w:lang w:bidi="ar-EG"/>
        </w:rPr>
        <w:t xml:space="preserve">, the dance began as early as the month of Muharram. However, it was only performed openly in February 2013 at the </w:t>
      </w:r>
      <w:proofErr w:type="spellStart"/>
      <w:r w:rsidR="000E754F" w:rsidRPr="000E754F">
        <w:rPr>
          <w:rFonts w:ascii="Garamond" w:hAnsi="Garamond" w:cs="Traditional Arabic"/>
          <w:lang w:bidi="ar-EG"/>
        </w:rPr>
        <w:t>Kagungan</w:t>
      </w:r>
      <w:proofErr w:type="spellEnd"/>
      <w:r w:rsidR="000E754F" w:rsidRPr="000E754F">
        <w:rPr>
          <w:rFonts w:ascii="Garamond" w:hAnsi="Garamond" w:cs="Traditional Arabic"/>
          <w:lang w:bidi="ar-EG"/>
        </w:rPr>
        <w:t xml:space="preserve"> </w:t>
      </w:r>
      <w:proofErr w:type="spellStart"/>
      <w:r w:rsidR="000E754F" w:rsidRPr="000E754F">
        <w:rPr>
          <w:rFonts w:ascii="Garamond" w:hAnsi="Garamond" w:cs="Traditional Arabic"/>
          <w:lang w:bidi="ar-EG"/>
        </w:rPr>
        <w:t>Ndalem</w:t>
      </w:r>
      <w:proofErr w:type="spellEnd"/>
      <w:r w:rsidR="000E754F" w:rsidRPr="000E754F">
        <w:rPr>
          <w:rFonts w:ascii="Garamond" w:hAnsi="Garamond" w:cs="Traditional Arabic"/>
          <w:lang w:bidi="ar-EG"/>
        </w:rPr>
        <w:t xml:space="preserve"> </w:t>
      </w:r>
      <w:proofErr w:type="spellStart"/>
      <w:r w:rsidR="000E754F" w:rsidRPr="000E754F">
        <w:rPr>
          <w:rFonts w:ascii="Garamond" w:hAnsi="Garamond" w:cs="Traditional Arabic"/>
          <w:lang w:bidi="ar-EG"/>
        </w:rPr>
        <w:t>Rotowijayan</w:t>
      </w:r>
      <w:proofErr w:type="spellEnd"/>
      <w:r w:rsidR="000E754F" w:rsidRPr="000E754F">
        <w:rPr>
          <w:rFonts w:ascii="Garamond" w:hAnsi="Garamond" w:cs="Traditional Arabic"/>
          <w:lang w:bidi="ar-EG"/>
        </w:rPr>
        <w:t xml:space="preserve"> mosque. This spiritual dance is an adaptation of the </w:t>
      </w:r>
      <w:proofErr w:type="spellStart"/>
      <w:r w:rsidR="000E754F" w:rsidRPr="000E754F">
        <w:rPr>
          <w:rFonts w:ascii="Garamond" w:hAnsi="Garamond" w:cs="Traditional Arabic"/>
          <w:lang w:bidi="ar-EG"/>
        </w:rPr>
        <w:t>Juged</w:t>
      </w:r>
      <w:proofErr w:type="spellEnd"/>
      <w:r w:rsidR="000E754F" w:rsidRPr="000E754F">
        <w:rPr>
          <w:rFonts w:ascii="Garamond" w:hAnsi="Garamond" w:cs="Traditional Arabic"/>
          <w:lang w:bidi="ar-EG"/>
        </w:rPr>
        <w:t xml:space="preserve"> </w:t>
      </w:r>
      <w:proofErr w:type="spellStart"/>
      <w:r w:rsidR="000E754F" w:rsidRPr="000E754F">
        <w:rPr>
          <w:rFonts w:ascii="Garamond" w:hAnsi="Garamond" w:cs="Traditional Arabic"/>
          <w:lang w:bidi="ar-EG"/>
        </w:rPr>
        <w:lastRenderedPageBreak/>
        <w:t>Mataram</w:t>
      </w:r>
      <w:proofErr w:type="spellEnd"/>
      <w:r w:rsidR="000E754F" w:rsidRPr="000E754F">
        <w:rPr>
          <w:rFonts w:ascii="Garamond" w:hAnsi="Garamond" w:cs="Traditional Arabic"/>
          <w:lang w:bidi="ar-EG"/>
        </w:rPr>
        <w:t xml:space="preserve"> dance in the Sultanate of Yogyakarta</w:t>
      </w:r>
      <w:r w:rsidR="000E754F">
        <w:rPr>
          <w:rFonts w:ascii="Garamond" w:hAnsi="Garamond" w:cs="Traditional Arabic"/>
          <w:lang w:bidi="ar-EG"/>
        </w:rPr>
        <w:t>,</w:t>
      </w:r>
      <w:r w:rsidR="00FB14E1" w:rsidRPr="000E754F">
        <w:rPr>
          <w:rStyle w:val="FootnoteReference"/>
          <w:rFonts w:ascii="Garamond" w:hAnsi="Garamond"/>
          <w:rtl/>
        </w:rPr>
        <w:footnoteReference w:id="56"/>
      </w:r>
      <w:r w:rsidR="00FB14E1" w:rsidRPr="000E754F">
        <w:rPr>
          <w:rFonts w:ascii="Garamond" w:hAnsi="Garamond" w:cs="Traditional Arabic"/>
          <w:rtl/>
          <w:lang w:bidi="ar-EG"/>
        </w:rPr>
        <w:t xml:space="preserve"> </w:t>
      </w:r>
      <w:r w:rsidR="000E754F" w:rsidRPr="000E754F">
        <w:rPr>
          <w:rFonts w:ascii="Garamond" w:hAnsi="Garamond" w:cs="Traditional Arabic"/>
          <w:lang w:bidi="ar-EG"/>
        </w:rPr>
        <w:t xml:space="preserve">Sultan </w:t>
      </w:r>
      <w:proofErr w:type="spellStart"/>
      <w:r w:rsidR="000E754F" w:rsidRPr="000E754F">
        <w:rPr>
          <w:rFonts w:ascii="Garamond" w:hAnsi="Garamond" w:cs="Traditional Arabic"/>
          <w:lang w:bidi="ar-EG"/>
        </w:rPr>
        <w:t>Hamengkubuwono</w:t>
      </w:r>
      <w:proofErr w:type="spellEnd"/>
      <w:r w:rsidR="000E754F" w:rsidRPr="000E754F">
        <w:rPr>
          <w:rFonts w:ascii="Garamond" w:hAnsi="Garamond" w:cs="Traditional Arabic"/>
          <w:lang w:bidi="ar-EG"/>
        </w:rPr>
        <w:t xml:space="preserve"> I established this dance as the domestic version of the Yogyakarta dance</w:t>
      </w:r>
      <w:r w:rsidR="000E754F">
        <w:rPr>
          <w:rFonts w:ascii="Garamond" w:hAnsi="Garamond" w:cs="Traditional Arabic"/>
          <w:lang w:bidi="ar-EG"/>
        </w:rPr>
        <w:t>.</w:t>
      </w:r>
      <w:r w:rsidR="00FB14E1" w:rsidRPr="000E754F">
        <w:rPr>
          <w:rStyle w:val="FootnoteReference"/>
          <w:rFonts w:ascii="Garamond" w:hAnsi="Garamond"/>
          <w:rtl/>
        </w:rPr>
        <w:footnoteReference w:id="57"/>
      </w:r>
    </w:p>
    <w:p w:rsidR="00FB14E1" w:rsidRPr="00D26292" w:rsidRDefault="000E754F" w:rsidP="00835549">
      <w:pPr>
        <w:ind w:left="14" w:firstLine="706"/>
        <w:jc w:val="both"/>
        <w:rPr>
          <w:rFonts w:ascii="Garamond" w:hAnsi="Garamond" w:cs="Traditional Arabic"/>
          <w:rtl/>
          <w:lang w:bidi="ar-EG"/>
        </w:rPr>
      </w:pPr>
      <w:r w:rsidRPr="00D26292">
        <w:rPr>
          <w:rFonts w:ascii="Garamond" w:hAnsi="Garamond" w:cs="Traditional Arabic"/>
          <w:lang w:bidi="ar-EG"/>
        </w:rPr>
        <w:t xml:space="preserve">In the traditional </w:t>
      </w:r>
      <w:proofErr w:type="spellStart"/>
      <w:r w:rsidRPr="00D26292">
        <w:rPr>
          <w:rFonts w:ascii="Garamond" w:hAnsi="Garamond" w:cs="Traditional Arabic"/>
          <w:lang w:bidi="ar-EG"/>
        </w:rPr>
        <w:t>Mataram</w:t>
      </w:r>
      <w:proofErr w:type="spellEnd"/>
      <w:r w:rsidRPr="00D26292">
        <w:rPr>
          <w:rFonts w:ascii="Garamond" w:hAnsi="Garamond" w:cs="Traditional Arabic"/>
          <w:lang w:bidi="ar-EG"/>
        </w:rPr>
        <w:t xml:space="preserve"> dance, which is a type of Sufi dance that aims to worship God, dancers would fast and read the Quran before dancing in order to dedicate </w:t>
      </w:r>
      <w:proofErr w:type="gramStart"/>
      <w:r w:rsidRPr="00D26292">
        <w:rPr>
          <w:rFonts w:ascii="Garamond" w:hAnsi="Garamond" w:cs="Traditional Arabic"/>
          <w:lang w:bidi="ar-EG"/>
        </w:rPr>
        <w:t>themselves</w:t>
      </w:r>
      <w:proofErr w:type="gramEnd"/>
      <w:r w:rsidRPr="00D26292">
        <w:rPr>
          <w:rFonts w:ascii="Garamond" w:hAnsi="Garamond" w:cs="Traditional Arabic"/>
          <w:lang w:bidi="ar-EG"/>
        </w:rPr>
        <w:t xml:space="preserve"> to God. In modern times, </w:t>
      </w:r>
      <w:proofErr w:type="spellStart"/>
      <w:r w:rsidR="00D26292" w:rsidRPr="00D26292">
        <w:rPr>
          <w:rFonts w:ascii="Garamond" w:hAnsi="Garamond" w:cs="Traditional Arabic"/>
          <w:lang w:bidi="ar-EG"/>
        </w:rPr>
        <w:t>Fatih</w:t>
      </w:r>
      <w:proofErr w:type="spellEnd"/>
      <w:r w:rsidR="00D26292" w:rsidRPr="00D26292">
        <w:rPr>
          <w:rFonts w:ascii="Garamond" w:hAnsi="Garamond" w:cs="Traditional Arabic"/>
          <w:lang w:bidi="ar-EG"/>
        </w:rPr>
        <w:t xml:space="preserve"> </w:t>
      </w:r>
      <w:proofErr w:type="spellStart"/>
      <w:r w:rsidR="00D26292" w:rsidRPr="00D26292">
        <w:rPr>
          <w:rFonts w:ascii="Garamond" w:hAnsi="Garamond" w:cs="Traditional Arabic"/>
          <w:lang w:bidi="ar-EG"/>
        </w:rPr>
        <w:t>Suryadilaja</w:t>
      </w:r>
      <w:proofErr w:type="spellEnd"/>
      <w:r w:rsidRPr="00D26292">
        <w:rPr>
          <w:rFonts w:ascii="Garamond" w:hAnsi="Garamond" w:cs="Traditional Arabic"/>
          <w:lang w:bidi="ar-EG"/>
        </w:rPr>
        <w:t xml:space="preserve"> says, the spiritual values of Sufi dance have declined as a result of a shift towards seeing dance as a tourist commodity, devoid of spirit and passion</w:t>
      </w:r>
      <w:r w:rsidR="00D26292">
        <w:rPr>
          <w:rFonts w:ascii="Garamond" w:hAnsi="Garamond" w:cs="Traditional Arabic"/>
          <w:lang w:bidi="ar-EG"/>
        </w:rPr>
        <w:t>.</w:t>
      </w:r>
      <w:r w:rsidR="00FB14E1" w:rsidRPr="00D26292">
        <w:rPr>
          <w:rStyle w:val="FootnoteReference"/>
          <w:rFonts w:ascii="Garamond" w:hAnsi="Garamond"/>
          <w:rtl/>
        </w:rPr>
        <w:footnoteReference w:id="58"/>
      </w:r>
      <w:r w:rsidR="00FB14E1" w:rsidRPr="00D26292">
        <w:rPr>
          <w:rFonts w:ascii="Garamond" w:hAnsi="Garamond" w:cs="Traditional Arabic"/>
          <w:lang w:bidi="ar-EG"/>
        </w:rPr>
        <w:t xml:space="preserve"> </w:t>
      </w:r>
      <w:r w:rsidR="00FB14E1" w:rsidRPr="00D26292">
        <w:rPr>
          <w:rFonts w:ascii="Garamond" w:hAnsi="Garamond" w:cs="Traditional Arabic"/>
          <w:rtl/>
          <w:lang w:bidi="ar-EG"/>
        </w:rPr>
        <w:t xml:space="preserve"> </w:t>
      </w:r>
      <w:r w:rsidRPr="00D26292">
        <w:rPr>
          <w:rFonts w:ascii="Garamond" w:hAnsi="Garamond" w:cs="Traditional Arabic"/>
          <w:lang w:bidi="ar-EG"/>
        </w:rPr>
        <w:t xml:space="preserve">He said: </w:t>
      </w:r>
      <w:r w:rsidR="00D26292">
        <w:rPr>
          <w:rFonts w:ascii="Garamond" w:hAnsi="Garamond" w:cs="Traditional Arabic"/>
          <w:lang w:bidi="ar-EG"/>
        </w:rPr>
        <w:t>“</w:t>
      </w:r>
      <w:r w:rsidRPr="00D26292">
        <w:rPr>
          <w:rFonts w:ascii="Garamond" w:hAnsi="Garamond" w:cs="Traditional Arabic"/>
          <w:lang w:bidi="ar-EG"/>
        </w:rPr>
        <w:t xml:space="preserve">The goal is for a Muslim to not only </w:t>
      </w:r>
      <w:proofErr w:type="gramStart"/>
      <w:r w:rsidRPr="00D26292">
        <w:rPr>
          <w:rFonts w:ascii="Garamond" w:hAnsi="Garamond" w:cs="Traditional Arabic"/>
          <w:lang w:bidi="ar-EG"/>
        </w:rPr>
        <w:t>be</w:t>
      </w:r>
      <w:proofErr w:type="gramEnd"/>
      <w:r w:rsidRPr="00D26292">
        <w:rPr>
          <w:rFonts w:ascii="Garamond" w:hAnsi="Garamond" w:cs="Traditional Arabic"/>
          <w:lang w:bidi="ar-EG"/>
        </w:rPr>
        <w:t xml:space="preserve"> recognized as a master of the dance, but also to understand the Islamic values it contains. Therefore, </w:t>
      </w:r>
      <w:proofErr w:type="spellStart"/>
      <w:r w:rsidR="00835549">
        <w:rPr>
          <w:rFonts w:ascii="Garamond" w:hAnsi="Garamond" w:cs="Traditional Arabic"/>
          <w:lang w:bidi="ar-EG"/>
        </w:rPr>
        <w:t>Wibbie</w:t>
      </w:r>
      <w:proofErr w:type="spellEnd"/>
      <w:r w:rsidR="00835549">
        <w:rPr>
          <w:rFonts w:ascii="Garamond" w:hAnsi="Garamond" w:cs="Traditional Arabic"/>
          <w:lang w:bidi="ar-EG"/>
        </w:rPr>
        <w:t xml:space="preserve"> </w:t>
      </w:r>
      <w:proofErr w:type="spellStart"/>
      <w:r w:rsidR="00835549">
        <w:rPr>
          <w:rFonts w:ascii="Garamond" w:hAnsi="Garamond" w:cs="Traditional Arabic"/>
          <w:lang w:bidi="ar-EG"/>
        </w:rPr>
        <w:t>Maharddika</w:t>
      </w:r>
      <w:proofErr w:type="spellEnd"/>
      <w:r w:rsidRPr="00D26292">
        <w:rPr>
          <w:rFonts w:ascii="Garamond" w:hAnsi="Garamond" w:cs="Traditional Arabic"/>
          <w:lang w:bidi="ar-EG"/>
        </w:rPr>
        <w:t xml:space="preserve"> tried to find a way to understand the truth of the dance that a person performs, which, in his opinion, is a way to get closer to God, in addition to character formation, </w:t>
      </w:r>
      <w:proofErr w:type="gramStart"/>
      <w:r w:rsidRPr="00D26292">
        <w:rPr>
          <w:rFonts w:ascii="Garamond" w:hAnsi="Garamond" w:cs="Traditional Arabic"/>
          <w:lang w:bidi="ar-EG"/>
        </w:rPr>
        <w:t>so</w:t>
      </w:r>
      <w:proofErr w:type="gramEnd"/>
      <w:r w:rsidRPr="00D26292">
        <w:rPr>
          <w:rFonts w:ascii="Garamond" w:hAnsi="Garamond" w:cs="Traditional Arabic"/>
          <w:lang w:bidi="ar-EG"/>
        </w:rPr>
        <w:t xml:space="preserve"> that he wants to prove that Javanese culture has an Islamic religious art because the Yogyakarta Empire is an Islamic kingdom</w:t>
      </w:r>
      <w:r w:rsidR="00D26292">
        <w:rPr>
          <w:rFonts w:ascii="Garamond" w:hAnsi="Garamond" w:cs="Traditional Arabic"/>
          <w:lang w:bidi="ar-EG"/>
        </w:rPr>
        <w:t>”.</w:t>
      </w:r>
      <w:r w:rsidR="00FB14E1" w:rsidRPr="00D26292">
        <w:rPr>
          <w:rStyle w:val="FootnoteReference"/>
          <w:rFonts w:ascii="Garamond" w:hAnsi="Garamond"/>
          <w:rtl/>
        </w:rPr>
        <w:footnoteReference w:id="59"/>
      </w:r>
    </w:p>
    <w:p w:rsidR="00FB14E1" w:rsidRPr="00AC4A92" w:rsidRDefault="00AC4A92" w:rsidP="00AC4A92">
      <w:pPr>
        <w:ind w:left="14" w:firstLine="706"/>
        <w:jc w:val="both"/>
        <w:rPr>
          <w:rFonts w:ascii="Garamond" w:hAnsi="Garamond" w:cs="Traditional Arabic"/>
          <w:rtl/>
          <w:lang w:bidi="ar-EG"/>
        </w:rPr>
      </w:pPr>
      <w:r w:rsidRPr="00AC4A92">
        <w:rPr>
          <w:rFonts w:ascii="Garamond" w:hAnsi="Garamond" w:cs="Traditional Arabic"/>
          <w:lang w:bidi="ar-EG"/>
        </w:rPr>
        <w:t xml:space="preserve">The dance is based on four elements of </w:t>
      </w:r>
      <w:proofErr w:type="spellStart"/>
      <w:r w:rsidRPr="00AC4A92">
        <w:rPr>
          <w:rFonts w:ascii="Garamond" w:hAnsi="Garamond" w:cs="Traditional Arabic"/>
          <w:lang w:bidi="ar-EG"/>
        </w:rPr>
        <w:t>Ahlamian</w:t>
      </w:r>
      <w:proofErr w:type="spellEnd"/>
      <w:r w:rsidRPr="00AC4A92">
        <w:rPr>
          <w:rFonts w:ascii="Garamond" w:hAnsi="Garamond" w:cs="Traditional Arabic"/>
          <w:lang w:bidi="ar-EG"/>
        </w:rPr>
        <w:t xml:space="preserve"> educational values, with each element carrying a double meaning</w:t>
      </w:r>
      <w:r w:rsidR="00FB14E1" w:rsidRPr="00AC4A92">
        <w:rPr>
          <w:rFonts w:ascii="Garamond" w:hAnsi="Garamond" w:cs="Traditional Arabic"/>
          <w:rtl/>
          <w:lang w:bidi="ar-EG"/>
        </w:rPr>
        <w:t>.</w:t>
      </w:r>
      <w:r w:rsidR="00FB14E1" w:rsidRPr="00AC4A92">
        <w:rPr>
          <w:rStyle w:val="FootnoteReference"/>
          <w:rFonts w:ascii="Garamond" w:hAnsi="Garamond"/>
          <w:rtl/>
        </w:rPr>
        <w:footnoteReference w:id="60"/>
      </w:r>
      <w:r w:rsidR="00FB14E1" w:rsidRPr="00AC4A92">
        <w:rPr>
          <w:rFonts w:ascii="Garamond" w:hAnsi="Garamond" w:cs="Traditional Arabic"/>
          <w:rtl/>
          <w:lang w:bidi="ar-EG"/>
        </w:rPr>
        <w:t xml:space="preserve"> </w:t>
      </w:r>
      <w:r w:rsidRPr="00AC4A92">
        <w:rPr>
          <w:rFonts w:ascii="Garamond" w:hAnsi="Garamond" w:cs="Traditional Arabic"/>
          <w:lang w:bidi="ar-EG"/>
        </w:rPr>
        <w:t xml:space="preserve">The choreographers </w:t>
      </w:r>
      <w:proofErr w:type="spellStart"/>
      <w:r w:rsidRPr="00AC4A92">
        <w:rPr>
          <w:rFonts w:ascii="Garamond" w:hAnsi="Garamond" w:cs="Traditional Arabic"/>
          <w:lang w:bidi="ar-EG"/>
        </w:rPr>
        <w:t>Kuswarsantyo</w:t>
      </w:r>
      <w:proofErr w:type="spellEnd"/>
      <w:r w:rsidRPr="00AC4A92">
        <w:rPr>
          <w:rFonts w:ascii="Garamond" w:hAnsi="Garamond" w:cs="Traditional Arabic"/>
          <w:lang w:bidi="ar-EG"/>
        </w:rPr>
        <w:t xml:space="preserve"> and </w:t>
      </w:r>
      <w:proofErr w:type="spellStart"/>
      <w:r w:rsidRPr="00AC4A92">
        <w:rPr>
          <w:rFonts w:ascii="Garamond" w:hAnsi="Garamond" w:cs="Traditional Arabic"/>
          <w:lang w:bidi="ar-EG"/>
        </w:rPr>
        <w:t>Condrowaseso</w:t>
      </w:r>
      <w:proofErr w:type="spellEnd"/>
      <w:r w:rsidRPr="00AC4A92">
        <w:rPr>
          <w:rFonts w:ascii="Garamond" w:hAnsi="Garamond" w:cs="Traditional Arabic"/>
          <w:lang w:bidi="ar-EG"/>
        </w:rPr>
        <w:t xml:space="preserve"> are mentioned as having developed the dance, which is based on the then-prevalent palace life philosophy called </w:t>
      </w:r>
      <w:proofErr w:type="spellStart"/>
      <w:r w:rsidRPr="00AC4A92">
        <w:rPr>
          <w:rFonts w:ascii="Garamond" w:hAnsi="Garamond" w:cs="Traditional Arabic"/>
          <w:lang w:bidi="ar-EG"/>
        </w:rPr>
        <w:t>Golong</w:t>
      </w:r>
      <w:proofErr w:type="spellEnd"/>
      <w:r w:rsidRPr="00AC4A92">
        <w:rPr>
          <w:rFonts w:ascii="Garamond" w:hAnsi="Garamond" w:cs="Traditional Arabic"/>
          <w:lang w:bidi="ar-EG"/>
        </w:rPr>
        <w:t xml:space="preserve"> </w:t>
      </w:r>
      <w:proofErr w:type="spellStart"/>
      <w:r w:rsidRPr="00AC4A92">
        <w:rPr>
          <w:rFonts w:ascii="Garamond" w:hAnsi="Garamond" w:cs="Traditional Arabic"/>
          <w:lang w:bidi="ar-EG"/>
        </w:rPr>
        <w:t>Gilig</w:t>
      </w:r>
      <w:proofErr w:type="spellEnd"/>
      <w:r w:rsidRPr="00AC4A92">
        <w:rPr>
          <w:rFonts w:ascii="Garamond" w:hAnsi="Garamond" w:cs="Traditional Arabic"/>
          <w:lang w:bidi="ar-EG"/>
        </w:rPr>
        <w:t xml:space="preserve"> </w:t>
      </w:r>
      <w:proofErr w:type="spellStart"/>
      <w:r w:rsidRPr="00AC4A92">
        <w:rPr>
          <w:rFonts w:ascii="Garamond" w:hAnsi="Garamond" w:cs="Traditional Arabic"/>
          <w:lang w:bidi="ar-EG"/>
        </w:rPr>
        <w:t>Sawiji</w:t>
      </w:r>
      <w:proofErr w:type="spellEnd"/>
      <w:r>
        <w:rPr>
          <w:rFonts w:ascii="Garamond" w:hAnsi="Garamond" w:cs="Traditional Arabic"/>
          <w:lang w:bidi="ar-EG"/>
        </w:rPr>
        <w:t>,</w:t>
      </w:r>
      <w:r w:rsidR="00FB14E1" w:rsidRPr="00AC4A92">
        <w:rPr>
          <w:rStyle w:val="FootnoteReference"/>
          <w:rFonts w:ascii="Garamond" w:hAnsi="Garamond"/>
          <w:rtl/>
        </w:rPr>
        <w:footnoteReference w:id="61"/>
      </w:r>
      <w:r w:rsidR="00FB14E1" w:rsidRPr="00AC4A92">
        <w:rPr>
          <w:rFonts w:ascii="Garamond" w:hAnsi="Garamond" w:cs="Traditional Arabic"/>
          <w:rtl/>
          <w:lang w:bidi="ar-EG"/>
        </w:rPr>
        <w:t xml:space="preserve"> </w:t>
      </w:r>
      <w:proofErr w:type="spellStart"/>
      <w:r w:rsidR="00FB14E1" w:rsidRPr="00AC4A92">
        <w:rPr>
          <w:rFonts w:ascii="Garamond" w:hAnsi="Garamond" w:cstheme="majorBidi"/>
          <w:lang w:bidi="ar-EG"/>
        </w:rPr>
        <w:t>Gereged</w:t>
      </w:r>
      <w:proofErr w:type="spellEnd"/>
      <w:r>
        <w:rPr>
          <w:rFonts w:ascii="Garamond" w:hAnsi="Garamond" w:cstheme="majorBidi"/>
          <w:lang w:bidi="ar-EG"/>
        </w:rPr>
        <w:t>,</w:t>
      </w:r>
      <w:r w:rsidR="00FB14E1" w:rsidRPr="00AC4A92">
        <w:rPr>
          <w:rStyle w:val="FootnoteReference"/>
          <w:rFonts w:ascii="Garamond" w:hAnsi="Garamond"/>
          <w:rtl/>
        </w:rPr>
        <w:footnoteReference w:id="62"/>
      </w:r>
      <w:r w:rsidR="00FB14E1" w:rsidRPr="00AC4A92">
        <w:rPr>
          <w:rFonts w:ascii="Garamond" w:hAnsi="Garamond" w:cs="Traditional Arabic"/>
          <w:rtl/>
          <w:lang w:bidi="ar-EG"/>
        </w:rPr>
        <w:t xml:space="preserve"> </w:t>
      </w:r>
      <w:proofErr w:type="spellStart"/>
      <w:r w:rsidR="00FB14E1" w:rsidRPr="00AC4A92">
        <w:rPr>
          <w:rFonts w:ascii="Garamond" w:hAnsi="Garamond" w:cstheme="majorBidi"/>
          <w:lang w:bidi="ar-EG"/>
        </w:rPr>
        <w:t>Sengguh</w:t>
      </w:r>
      <w:proofErr w:type="spellEnd"/>
      <w:r>
        <w:rPr>
          <w:rFonts w:ascii="Garamond" w:hAnsi="Garamond" w:cstheme="majorBidi"/>
          <w:lang w:bidi="ar-EG"/>
        </w:rPr>
        <w:t>,</w:t>
      </w:r>
      <w:r w:rsidR="00FB14E1" w:rsidRPr="00AC4A92">
        <w:rPr>
          <w:rStyle w:val="FootnoteReference"/>
          <w:rFonts w:ascii="Garamond" w:hAnsi="Garamond"/>
          <w:rtl/>
        </w:rPr>
        <w:footnoteReference w:id="63"/>
      </w:r>
      <w:r w:rsidR="00FB14E1" w:rsidRPr="00AC4A92">
        <w:rPr>
          <w:rFonts w:ascii="Garamond" w:hAnsi="Garamond" w:cs="Traditional Arabic"/>
          <w:rtl/>
          <w:lang w:bidi="ar-EG"/>
        </w:rPr>
        <w:t xml:space="preserve"> </w:t>
      </w:r>
      <w:proofErr w:type="spellStart"/>
      <w:proofErr w:type="gramStart"/>
      <w:r w:rsidR="00FB14E1" w:rsidRPr="00AC4A92">
        <w:rPr>
          <w:rFonts w:ascii="Garamond" w:hAnsi="Garamond" w:cstheme="majorBidi"/>
          <w:lang w:bidi="ar-EG"/>
        </w:rPr>
        <w:t>Ora</w:t>
      </w:r>
      <w:proofErr w:type="spellEnd"/>
      <w:proofErr w:type="gramEnd"/>
      <w:r w:rsidR="00FB14E1" w:rsidRPr="00AC4A92">
        <w:rPr>
          <w:rFonts w:ascii="Garamond" w:hAnsi="Garamond" w:cstheme="majorBidi"/>
          <w:lang w:bidi="ar-EG"/>
        </w:rPr>
        <w:t xml:space="preserve"> </w:t>
      </w:r>
      <w:proofErr w:type="spellStart"/>
      <w:r w:rsidR="00FB14E1" w:rsidRPr="00AC4A92">
        <w:rPr>
          <w:rFonts w:ascii="Garamond" w:hAnsi="Garamond" w:cstheme="majorBidi"/>
          <w:lang w:bidi="ar-EG"/>
        </w:rPr>
        <w:t>Mingkuh</w:t>
      </w:r>
      <w:proofErr w:type="spellEnd"/>
      <w:r w:rsidR="00A73F5B">
        <w:rPr>
          <w:rFonts w:ascii="Garamond" w:hAnsi="Garamond" w:cstheme="majorBidi"/>
          <w:lang w:bidi="ar-EG"/>
        </w:rPr>
        <w:t xml:space="preserve">. </w:t>
      </w:r>
      <w:r w:rsidRPr="00AC4A92">
        <w:rPr>
          <w:rFonts w:ascii="Garamond" w:hAnsi="Garamond" w:cs="Traditional Arabic"/>
          <w:lang w:bidi="ar-EG"/>
        </w:rPr>
        <w:t>The form of practice applied in this dance, the prayer before the beginning of the dance, which he called the “</w:t>
      </w:r>
      <w:proofErr w:type="spellStart"/>
      <w:r w:rsidRPr="00AC4A92">
        <w:rPr>
          <w:rFonts w:ascii="Garamond" w:hAnsi="Garamond" w:cs="Traditional Arabic"/>
          <w:lang w:bidi="ar-EG"/>
        </w:rPr>
        <w:t>Mataram</w:t>
      </w:r>
      <w:proofErr w:type="spellEnd"/>
      <w:r w:rsidRPr="00AC4A92">
        <w:rPr>
          <w:rFonts w:ascii="Garamond" w:hAnsi="Garamond" w:cs="Traditional Arabic"/>
          <w:lang w:bidi="ar-EG"/>
        </w:rPr>
        <w:t xml:space="preserve"> Prayer Dance Meditation,” is as follows</w:t>
      </w:r>
      <w:r w:rsidR="00FB14E1" w:rsidRPr="00AC4A92">
        <w:rPr>
          <w:rFonts w:ascii="Garamond" w:hAnsi="Garamond" w:cs="Traditional Arabic"/>
          <w:rtl/>
          <w:lang w:bidi="ar-EG"/>
        </w:rPr>
        <w:t xml:space="preserve">: </w:t>
      </w:r>
    </w:p>
    <w:p w:rsidR="00FB14E1" w:rsidRPr="00A73F5B" w:rsidRDefault="00FB14E1" w:rsidP="00FB14E1">
      <w:pPr>
        <w:ind w:left="14" w:firstLine="706"/>
        <w:jc w:val="both"/>
        <w:rPr>
          <w:rFonts w:ascii="Garamond" w:hAnsi="Garamond" w:cstheme="majorBidi"/>
          <w:rtl/>
          <w:lang w:bidi="ar-EG"/>
        </w:rPr>
      </w:pPr>
      <w:r w:rsidRPr="00A73F5B">
        <w:rPr>
          <w:rFonts w:ascii="Garamond" w:hAnsi="Garamond" w:cstheme="majorBidi"/>
          <w:lang w:bidi="ar-EG"/>
        </w:rPr>
        <w:t xml:space="preserve">Duh </w:t>
      </w:r>
      <w:proofErr w:type="spellStart"/>
      <w:r w:rsidRPr="00A73F5B">
        <w:rPr>
          <w:rFonts w:ascii="Garamond" w:hAnsi="Garamond" w:cstheme="majorBidi"/>
          <w:lang w:bidi="ar-EG"/>
        </w:rPr>
        <w:t>Gusti</w:t>
      </w:r>
      <w:proofErr w:type="spellEnd"/>
    </w:p>
    <w:p w:rsidR="00FB14E1" w:rsidRPr="00A73F5B" w:rsidRDefault="00FB14E1" w:rsidP="00FB14E1">
      <w:pPr>
        <w:ind w:left="14" w:firstLine="706"/>
        <w:jc w:val="both"/>
        <w:rPr>
          <w:rFonts w:ascii="Garamond" w:hAnsi="Garamond" w:cstheme="majorBidi"/>
          <w:rtl/>
          <w:lang w:bidi="ar-EG"/>
        </w:rPr>
      </w:pPr>
      <w:proofErr w:type="spellStart"/>
      <w:proofErr w:type="gramStart"/>
      <w:r w:rsidRPr="00A73F5B">
        <w:rPr>
          <w:rFonts w:ascii="Garamond" w:hAnsi="Garamond" w:cstheme="majorBidi"/>
          <w:lang w:bidi="ar-EG"/>
        </w:rPr>
        <w:t>Kawula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dereng</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panggih</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kasunyatan</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jati</w:t>
      </w:r>
      <w:proofErr w:type="spellEnd"/>
      <w:r w:rsidRPr="00A73F5B">
        <w:rPr>
          <w:rFonts w:ascii="Garamond" w:hAnsi="Garamond" w:cstheme="majorBidi"/>
          <w:lang w:bidi="ar-EG"/>
        </w:rPr>
        <w:t>.</w:t>
      </w:r>
      <w:proofErr w:type="gramEnd"/>
    </w:p>
    <w:p w:rsidR="00FB14E1" w:rsidRPr="00A73F5B" w:rsidRDefault="00FB14E1" w:rsidP="00FB14E1">
      <w:pPr>
        <w:ind w:left="14" w:firstLine="706"/>
        <w:jc w:val="both"/>
        <w:rPr>
          <w:rFonts w:ascii="Garamond" w:hAnsi="Garamond" w:cstheme="majorBidi"/>
          <w:rtl/>
          <w:lang w:bidi="ar-EG"/>
        </w:rPr>
      </w:pPr>
      <w:proofErr w:type="spellStart"/>
      <w:r w:rsidRPr="00A73F5B">
        <w:rPr>
          <w:rFonts w:ascii="Garamond" w:hAnsi="Garamond" w:cstheme="majorBidi"/>
          <w:lang w:bidi="ar-EG"/>
        </w:rPr>
        <w:t>Pramila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kanthi</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ambegsa</w:t>
      </w:r>
      <w:proofErr w:type="spellEnd"/>
      <w:r w:rsidRPr="00A73F5B">
        <w:rPr>
          <w:rFonts w:ascii="Garamond" w:hAnsi="Garamond" w:cstheme="majorBidi"/>
          <w:lang w:bidi="ar-EG"/>
        </w:rPr>
        <w:t xml:space="preserve">, </w:t>
      </w:r>
    </w:p>
    <w:p w:rsidR="00FB14E1" w:rsidRPr="00A73F5B" w:rsidRDefault="00FB14E1" w:rsidP="00FB14E1">
      <w:pPr>
        <w:ind w:left="14" w:firstLine="706"/>
        <w:jc w:val="both"/>
        <w:rPr>
          <w:rFonts w:ascii="Garamond" w:hAnsi="Garamond" w:cstheme="majorBidi"/>
          <w:rtl/>
          <w:lang w:bidi="ar-EG"/>
        </w:rPr>
      </w:pPr>
      <w:proofErr w:type="spellStart"/>
      <w:proofErr w:type="gramStart"/>
      <w:r w:rsidRPr="00A73F5B">
        <w:rPr>
          <w:rFonts w:ascii="Garamond" w:hAnsi="Garamond" w:cstheme="majorBidi"/>
          <w:lang w:bidi="ar-EG"/>
        </w:rPr>
        <w:t>kawula</w:t>
      </w:r>
      <w:proofErr w:type="spellEnd"/>
      <w:proofErr w:type="gramEnd"/>
      <w:r w:rsidRPr="00A73F5B">
        <w:rPr>
          <w:rFonts w:ascii="Garamond" w:hAnsi="Garamond" w:cstheme="majorBidi"/>
          <w:lang w:bidi="ar-EG"/>
        </w:rPr>
        <w:t xml:space="preserve"> </w:t>
      </w:r>
      <w:proofErr w:type="spellStart"/>
      <w:r w:rsidRPr="00A73F5B">
        <w:rPr>
          <w:rFonts w:ascii="Garamond" w:hAnsi="Garamond" w:cstheme="majorBidi"/>
          <w:lang w:bidi="ar-EG"/>
        </w:rPr>
        <w:t>mamasah</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mingis</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ing</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budi</w:t>
      </w:r>
      <w:proofErr w:type="spellEnd"/>
      <w:r w:rsidRPr="00A73F5B">
        <w:rPr>
          <w:rFonts w:ascii="Garamond" w:hAnsi="Garamond" w:cstheme="majorBidi"/>
          <w:lang w:bidi="ar-EG"/>
        </w:rPr>
        <w:t xml:space="preserve">. </w:t>
      </w:r>
    </w:p>
    <w:p w:rsidR="00FB14E1" w:rsidRPr="00A73F5B" w:rsidRDefault="00FB14E1" w:rsidP="00FB14E1">
      <w:pPr>
        <w:ind w:left="14" w:firstLine="706"/>
        <w:jc w:val="both"/>
        <w:rPr>
          <w:rFonts w:ascii="Garamond" w:hAnsi="Garamond" w:cstheme="majorBidi"/>
          <w:rtl/>
          <w:lang w:bidi="ar-EG"/>
        </w:rPr>
      </w:pPr>
      <w:proofErr w:type="spellStart"/>
      <w:r w:rsidRPr="00A73F5B">
        <w:rPr>
          <w:rFonts w:ascii="Garamond" w:hAnsi="Garamond" w:cstheme="majorBidi"/>
          <w:lang w:bidi="ar-EG"/>
        </w:rPr>
        <w:t>Kanthi</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ambegsa</w:t>
      </w:r>
      <w:proofErr w:type="spellEnd"/>
      <w:r w:rsidRPr="00A73F5B">
        <w:rPr>
          <w:rFonts w:ascii="Garamond" w:hAnsi="Garamond" w:cstheme="majorBidi"/>
          <w:lang w:bidi="ar-EG"/>
        </w:rPr>
        <w:t xml:space="preserve">, </w:t>
      </w:r>
    </w:p>
    <w:p w:rsidR="00FB14E1" w:rsidRPr="00A73F5B" w:rsidRDefault="00FB14E1" w:rsidP="00FB14E1">
      <w:pPr>
        <w:ind w:left="14" w:firstLine="706"/>
        <w:jc w:val="both"/>
        <w:rPr>
          <w:rFonts w:ascii="Garamond" w:hAnsi="Garamond" w:cstheme="majorBidi"/>
          <w:rtl/>
          <w:lang w:bidi="ar-EG"/>
        </w:rPr>
      </w:pPr>
      <w:proofErr w:type="spellStart"/>
      <w:proofErr w:type="gramStart"/>
      <w:r w:rsidRPr="00A73F5B">
        <w:rPr>
          <w:rFonts w:ascii="Garamond" w:hAnsi="Garamond" w:cstheme="majorBidi"/>
          <w:lang w:bidi="ar-EG"/>
        </w:rPr>
        <w:t>punapa</w:t>
      </w:r>
      <w:proofErr w:type="spellEnd"/>
      <w:proofErr w:type="gramEnd"/>
      <w:r w:rsidRPr="00A73F5B">
        <w:rPr>
          <w:rFonts w:ascii="Garamond" w:hAnsi="Garamond" w:cstheme="majorBidi"/>
          <w:lang w:bidi="ar-EG"/>
        </w:rPr>
        <w:t xml:space="preserve"> </w:t>
      </w:r>
      <w:proofErr w:type="spellStart"/>
      <w:r w:rsidRPr="00A73F5B">
        <w:rPr>
          <w:rFonts w:ascii="Garamond" w:hAnsi="Garamond" w:cstheme="majorBidi"/>
          <w:lang w:bidi="ar-EG"/>
        </w:rPr>
        <w:t>kawula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klentu</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ingkang</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lelana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brata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kerana</w:t>
      </w:r>
      <w:proofErr w:type="spellEnd"/>
      <w:r w:rsidRPr="00A73F5B">
        <w:rPr>
          <w:rFonts w:ascii="Garamond" w:hAnsi="Garamond" w:cstheme="majorBidi"/>
          <w:lang w:bidi="ar-EG"/>
        </w:rPr>
        <w:t xml:space="preserve"> PADUKA! </w:t>
      </w:r>
    </w:p>
    <w:p w:rsidR="00FB14E1" w:rsidRPr="00A73F5B" w:rsidRDefault="00FB14E1" w:rsidP="00FB14E1">
      <w:pPr>
        <w:ind w:left="14" w:firstLine="706"/>
        <w:jc w:val="both"/>
        <w:rPr>
          <w:rFonts w:ascii="Garamond" w:hAnsi="Garamond" w:cstheme="majorBidi"/>
          <w:rtl/>
          <w:lang w:bidi="ar-EG"/>
        </w:rPr>
      </w:pPr>
      <w:proofErr w:type="spellStart"/>
      <w:r w:rsidRPr="00A73F5B">
        <w:rPr>
          <w:rFonts w:ascii="Garamond" w:hAnsi="Garamond" w:cstheme="majorBidi"/>
          <w:lang w:bidi="ar-EG"/>
        </w:rPr>
        <w:t>Ing</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sipat</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lembah</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manah</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kawula</w:t>
      </w:r>
      <w:proofErr w:type="spellEnd"/>
      <w:r w:rsidRPr="00A73F5B">
        <w:rPr>
          <w:rFonts w:ascii="Garamond" w:hAnsi="Garamond" w:cstheme="majorBidi"/>
          <w:lang w:bidi="ar-EG"/>
        </w:rPr>
        <w:t xml:space="preserve"> </w:t>
      </w:r>
      <w:proofErr w:type="spellStart"/>
      <w:proofErr w:type="gramStart"/>
      <w:r w:rsidRPr="00A73F5B">
        <w:rPr>
          <w:rFonts w:ascii="Garamond" w:hAnsi="Garamond" w:cstheme="majorBidi"/>
          <w:lang w:bidi="ar-EG"/>
        </w:rPr>
        <w:t>sami</w:t>
      </w:r>
      <w:proofErr w:type="spellEnd"/>
      <w:proofErr w:type="gramEnd"/>
      <w:r w:rsidRPr="00A73F5B">
        <w:rPr>
          <w:rFonts w:ascii="Garamond" w:hAnsi="Garamond" w:cstheme="majorBidi"/>
          <w:lang w:bidi="ar-EG"/>
        </w:rPr>
        <w:t xml:space="preserve"> </w:t>
      </w:r>
      <w:proofErr w:type="spellStart"/>
      <w:r w:rsidRPr="00A73F5B">
        <w:rPr>
          <w:rFonts w:ascii="Garamond" w:hAnsi="Garamond" w:cstheme="majorBidi"/>
          <w:lang w:bidi="ar-EG"/>
        </w:rPr>
        <w:t>halelampah</w:t>
      </w:r>
      <w:proofErr w:type="spellEnd"/>
      <w:r w:rsidRPr="00A73F5B">
        <w:rPr>
          <w:rFonts w:ascii="Garamond" w:hAnsi="Garamond" w:cstheme="majorBidi"/>
          <w:lang w:bidi="ar-EG"/>
        </w:rPr>
        <w:t xml:space="preserve">, </w:t>
      </w:r>
    </w:p>
    <w:p w:rsidR="00FB14E1" w:rsidRPr="00EA2BDC" w:rsidRDefault="00FB14E1" w:rsidP="00FB14E1">
      <w:pPr>
        <w:ind w:left="14" w:firstLine="706"/>
        <w:jc w:val="both"/>
        <w:rPr>
          <w:rFonts w:asciiTheme="majorBidi" w:hAnsiTheme="majorBidi" w:cstheme="majorBidi"/>
          <w:rtl/>
          <w:lang w:bidi="ar-EG"/>
        </w:rPr>
      </w:pPr>
      <w:proofErr w:type="spellStart"/>
      <w:proofErr w:type="gramStart"/>
      <w:r w:rsidRPr="00A73F5B">
        <w:rPr>
          <w:rFonts w:ascii="Garamond" w:hAnsi="Garamond" w:cstheme="majorBidi"/>
          <w:lang w:bidi="ar-EG"/>
        </w:rPr>
        <w:t>lan</w:t>
      </w:r>
      <w:proofErr w:type="spellEnd"/>
      <w:proofErr w:type="gramEnd"/>
      <w:r w:rsidRPr="00A73F5B">
        <w:rPr>
          <w:rFonts w:ascii="Garamond" w:hAnsi="Garamond" w:cstheme="majorBidi"/>
          <w:lang w:bidi="ar-EG"/>
        </w:rPr>
        <w:t xml:space="preserve"> </w:t>
      </w:r>
      <w:proofErr w:type="spellStart"/>
      <w:r w:rsidRPr="00A73F5B">
        <w:rPr>
          <w:rFonts w:ascii="Garamond" w:hAnsi="Garamond" w:cstheme="majorBidi"/>
          <w:lang w:bidi="ar-EG"/>
        </w:rPr>
        <w:t>kerana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punika</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bumi</w:t>
      </w:r>
      <w:proofErr w:type="spellEnd"/>
      <w:r w:rsidRPr="00A73F5B">
        <w:rPr>
          <w:rFonts w:ascii="Garamond" w:hAnsi="Garamond" w:cstheme="majorBidi"/>
          <w:lang w:bidi="ar-EG"/>
        </w:rPr>
        <w:t xml:space="preserve"> </w:t>
      </w:r>
      <w:proofErr w:type="spellStart"/>
      <w:r w:rsidRPr="00A73F5B">
        <w:rPr>
          <w:rFonts w:ascii="Garamond" w:hAnsi="Garamond" w:cstheme="majorBidi"/>
          <w:lang w:bidi="ar-EG"/>
        </w:rPr>
        <w:t>kawirama</w:t>
      </w:r>
      <w:proofErr w:type="spellEnd"/>
      <w:r w:rsidRPr="00EA2BDC">
        <w:rPr>
          <w:rFonts w:asciiTheme="majorBidi" w:hAnsiTheme="majorBidi" w:cstheme="majorBidi"/>
          <w:lang w:bidi="ar-EG"/>
        </w:rPr>
        <w:t>.</w:t>
      </w:r>
      <w:r w:rsidRPr="00A73F5B">
        <w:rPr>
          <w:rStyle w:val="FootnoteReference"/>
          <w:rFonts w:ascii="Garamond" w:hAnsi="Garamond"/>
        </w:rPr>
        <w:footnoteReference w:id="64"/>
      </w:r>
    </w:p>
    <w:p w:rsidR="00FB14E1" w:rsidRPr="00835549" w:rsidRDefault="002833F4" w:rsidP="000C1F40">
      <w:pPr>
        <w:ind w:left="14" w:firstLine="706"/>
        <w:jc w:val="both"/>
        <w:rPr>
          <w:rFonts w:ascii="Garamond" w:hAnsi="Garamond" w:cs="Traditional Arabic"/>
          <w:rtl/>
          <w:lang w:bidi="ar-EG"/>
        </w:rPr>
      </w:pPr>
      <w:r w:rsidRPr="00835549">
        <w:rPr>
          <w:rFonts w:ascii="Garamond" w:hAnsi="Garamond" w:cs="Traditional Arabic"/>
          <w:lang w:bidi="ar-EG"/>
        </w:rPr>
        <w:lastRenderedPageBreak/>
        <w:t>According to Wei, Muhammad al-</w:t>
      </w:r>
      <w:proofErr w:type="spellStart"/>
      <w:r w:rsidRPr="00835549">
        <w:rPr>
          <w:rFonts w:ascii="Garamond" w:hAnsi="Garamond" w:cs="Traditional Arabic"/>
          <w:lang w:bidi="ar-EG"/>
        </w:rPr>
        <w:t>Fath</w:t>
      </w:r>
      <w:proofErr w:type="spellEnd"/>
      <w:r w:rsidRPr="00835549">
        <w:rPr>
          <w:rFonts w:ascii="Garamond" w:hAnsi="Garamond" w:cs="Traditional Arabic"/>
          <w:lang w:bidi="ar-EG"/>
        </w:rPr>
        <w:t xml:space="preserve"> said, "O God, </w:t>
      </w:r>
      <w:r w:rsidR="000C1F40">
        <w:rPr>
          <w:rFonts w:ascii="Garamond" w:hAnsi="Garamond" w:cs="Traditional Arabic"/>
          <w:lang w:bidi="ar-EG"/>
        </w:rPr>
        <w:t>we are your powerless servants</w:t>
      </w:r>
      <w:proofErr w:type="gramStart"/>
      <w:r w:rsidR="000C1F40">
        <w:rPr>
          <w:rFonts w:ascii="Garamond" w:hAnsi="Garamond" w:cs="Traditional Arabic"/>
          <w:lang w:bidi="ar-EG"/>
        </w:rPr>
        <w:t xml:space="preserve">. </w:t>
      </w:r>
      <w:r w:rsidRPr="00835549">
        <w:rPr>
          <w:rFonts w:ascii="Garamond" w:hAnsi="Garamond" w:cs="Traditional Arabic"/>
          <w:lang w:bidi="ar-EG"/>
        </w:rPr>
        <w:t>"</w:t>
      </w:r>
      <w:proofErr w:type="gramEnd"/>
      <w:r w:rsidRPr="00835549">
        <w:rPr>
          <w:rFonts w:ascii="Garamond" w:hAnsi="Garamond" w:cs="Traditional Arabic"/>
          <w:lang w:bidi="ar-EG"/>
        </w:rPr>
        <w:t>The truth is yet to be found," meaning that the real truth is yet to be found. Only God can truly understand Himself. We have no right to claim that we alone are right. "Through dance we sign morality," meaning that by dancing, we can only improve morality</w:t>
      </w:r>
      <w:r w:rsidR="000C1F40">
        <w:rPr>
          <w:rFonts w:ascii="Garamond" w:hAnsi="Garamond" w:cs="Traditional Arabic"/>
          <w:lang w:bidi="ar-EG"/>
        </w:rPr>
        <w:t>.</w:t>
      </w:r>
      <w:r w:rsidR="00FB14E1" w:rsidRPr="00835549">
        <w:rPr>
          <w:rStyle w:val="FootnoteReference"/>
          <w:rFonts w:ascii="Garamond" w:hAnsi="Garamond"/>
          <w:rtl/>
        </w:rPr>
        <w:footnoteReference w:id="65"/>
      </w:r>
      <w:r w:rsidR="000C1F40">
        <w:rPr>
          <w:rFonts w:ascii="Garamond" w:hAnsi="Garamond" w:cs="Traditional Arabic"/>
          <w:lang w:bidi="ar-EG"/>
        </w:rPr>
        <w:t xml:space="preserve"> </w:t>
      </w:r>
      <w:r w:rsidR="00835549" w:rsidRPr="00835549">
        <w:rPr>
          <w:rFonts w:ascii="Garamond" w:hAnsi="Garamond" w:cs="Traditional Arabic"/>
          <w:lang w:bidi="ar-EG"/>
        </w:rPr>
        <w:t xml:space="preserve">This is confirmed by the prophetic hadith in </w:t>
      </w:r>
      <w:proofErr w:type="spellStart"/>
      <w:r w:rsidR="00835549" w:rsidRPr="00835549">
        <w:rPr>
          <w:rFonts w:ascii="Garamond" w:hAnsi="Garamond" w:cs="Traditional Arabic"/>
          <w:lang w:bidi="ar-EG"/>
        </w:rPr>
        <w:t>Musnad</w:t>
      </w:r>
      <w:proofErr w:type="spellEnd"/>
      <w:r w:rsidR="00835549" w:rsidRPr="00835549">
        <w:rPr>
          <w:rFonts w:ascii="Garamond" w:hAnsi="Garamond" w:cs="Traditional Arabic"/>
          <w:lang w:bidi="ar-EG"/>
        </w:rPr>
        <w:t xml:space="preserve"> al-Bazar:  narrated by Abu </w:t>
      </w:r>
      <w:proofErr w:type="spellStart"/>
      <w:r w:rsidR="00835549" w:rsidRPr="00835549">
        <w:rPr>
          <w:rFonts w:ascii="Garamond" w:hAnsi="Garamond" w:cs="Traditional Arabic"/>
          <w:lang w:bidi="ar-EG"/>
        </w:rPr>
        <w:t>Huraira</w:t>
      </w:r>
      <w:proofErr w:type="spellEnd"/>
      <w:r w:rsidR="00835549" w:rsidRPr="00835549">
        <w:rPr>
          <w:rFonts w:ascii="Garamond" w:hAnsi="Garamond" w:cs="Traditional Arabic"/>
          <w:lang w:bidi="ar-EG"/>
        </w:rPr>
        <w:t xml:space="preserve">, from the Prophet </w:t>
      </w:r>
      <w:r w:rsidR="000C1F40">
        <w:rPr>
          <w:rFonts w:ascii="Traditional Arabic" w:hAnsi="Traditional Arabic" w:cs="Traditional Arabic"/>
          <w:rtl/>
          <w:lang w:bidi="ar-EG"/>
        </w:rPr>
        <w:t>ﷺ</w:t>
      </w:r>
      <w:r w:rsidR="00835549" w:rsidRPr="00835549">
        <w:rPr>
          <w:rFonts w:ascii="Garamond" w:hAnsi="Garamond" w:cs="Traditional Arabic"/>
          <w:lang w:bidi="ar-EG"/>
        </w:rPr>
        <w:t>, who said</w:t>
      </w:r>
      <w:r w:rsidR="000C1F40">
        <w:rPr>
          <w:rFonts w:ascii="Garamond" w:hAnsi="Garamond" w:cs="Traditional Arabic"/>
          <w:lang w:bidi="ar-EG"/>
        </w:rPr>
        <w:t>:</w:t>
      </w:r>
      <w:r w:rsidR="00FB14E1" w:rsidRPr="00835549">
        <w:rPr>
          <w:rFonts w:ascii="Garamond" w:hAnsi="Garamond" w:cs="Traditional Arabic"/>
          <w:rtl/>
          <w:lang w:bidi="ar-EG"/>
        </w:rPr>
        <w:t xml:space="preserve"> </w:t>
      </w:r>
      <w:r w:rsidR="00835549">
        <w:rPr>
          <w:rFonts w:ascii="Garamond" w:hAnsi="Garamond" w:cs="Traditional Arabic"/>
          <w:lang w:bidi="ar-EG"/>
        </w:rPr>
        <w:t xml:space="preserve"> “</w:t>
      </w:r>
      <w:r w:rsidR="00835549" w:rsidRPr="000C1F40">
        <w:rPr>
          <w:rFonts w:ascii="Garamond" w:hAnsi="Garamond" w:cs="Traditional Arabic"/>
          <w:i/>
          <w:iCs/>
          <w:lang w:bidi="ar-EG"/>
        </w:rPr>
        <w:t xml:space="preserve">I was sent to </w:t>
      </w:r>
      <w:proofErr w:type="spellStart"/>
      <w:r w:rsidR="00835549" w:rsidRPr="000C1F40">
        <w:rPr>
          <w:rFonts w:ascii="Garamond" w:hAnsi="Garamond" w:cs="Traditional Arabic"/>
          <w:i/>
          <w:iCs/>
          <w:lang w:bidi="ar-EG"/>
        </w:rPr>
        <w:t>fullfill</w:t>
      </w:r>
      <w:proofErr w:type="spellEnd"/>
      <w:r w:rsidR="00835549" w:rsidRPr="000C1F40">
        <w:rPr>
          <w:rFonts w:ascii="Garamond" w:hAnsi="Garamond" w:cs="Traditional Arabic"/>
          <w:i/>
          <w:iCs/>
          <w:lang w:bidi="ar-EG"/>
        </w:rPr>
        <w:t xml:space="preserve"> the ethics manners</w:t>
      </w:r>
      <w:r w:rsidR="000C1F40">
        <w:rPr>
          <w:rFonts w:ascii="Garamond" w:hAnsi="Garamond" w:cs="Traditional Arabic"/>
          <w:lang w:bidi="ar-EG"/>
        </w:rPr>
        <w:t>”</w:t>
      </w:r>
      <w:r w:rsidR="00835549">
        <w:rPr>
          <w:rFonts w:ascii="Garamond" w:hAnsi="Garamond" w:cs="Traditional Arabic"/>
          <w:lang w:bidi="ar-EG"/>
        </w:rPr>
        <w:t>.</w:t>
      </w:r>
      <w:r w:rsidR="00FB14E1" w:rsidRPr="00835549">
        <w:rPr>
          <w:rStyle w:val="FootnoteReference"/>
          <w:rFonts w:ascii="Garamond" w:hAnsi="Garamond"/>
          <w:rtl/>
        </w:rPr>
        <w:footnoteReference w:id="66"/>
      </w:r>
      <w:r w:rsidR="000C1F40">
        <w:rPr>
          <w:rFonts w:ascii="Garamond" w:hAnsi="Garamond" w:cs="Traditional Arabic"/>
          <w:lang w:bidi="ar-EG"/>
        </w:rPr>
        <w:t xml:space="preserve"> </w:t>
      </w:r>
      <w:r w:rsidR="00835549" w:rsidRPr="00835549">
        <w:rPr>
          <w:rFonts w:ascii="Garamond" w:hAnsi="Garamond" w:cs="Traditional Arabic"/>
          <w:lang w:bidi="ar-EG"/>
        </w:rPr>
        <w:t xml:space="preserve">In dancing, have I who wander for you sinned?" </w:t>
      </w:r>
      <w:proofErr w:type="spellStart"/>
      <w:r w:rsidR="000C1F40">
        <w:rPr>
          <w:rFonts w:ascii="Garamond" w:hAnsi="Garamond" w:cs="Traditional Arabic"/>
          <w:lang w:bidi="ar-EG"/>
        </w:rPr>
        <w:t>Wibbie</w:t>
      </w:r>
      <w:proofErr w:type="spellEnd"/>
      <w:r w:rsidR="000C1F40">
        <w:rPr>
          <w:rFonts w:ascii="Garamond" w:hAnsi="Garamond" w:cs="Traditional Arabic"/>
          <w:lang w:bidi="ar-EG"/>
        </w:rPr>
        <w:t xml:space="preserve"> </w:t>
      </w:r>
      <w:r w:rsidR="00835549" w:rsidRPr="00835549">
        <w:rPr>
          <w:rFonts w:ascii="Garamond" w:hAnsi="Garamond" w:cs="Traditional Arabic"/>
          <w:lang w:bidi="ar-EG"/>
        </w:rPr>
        <w:t xml:space="preserve">sees this as a jurisprudential question. In your valley we circumambulate, therefore we sign the world," meaning entering the valleys of life, circumambulating and entering the dark realms. This world is dark, but in its rhythm it will fit into the light of the hereafter. In your valley we circumambulate," meaning we circumambulate the world. So we </w:t>
      </w:r>
      <w:proofErr w:type="spellStart"/>
      <w:r w:rsidR="00835549" w:rsidRPr="00835549">
        <w:rPr>
          <w:rFonts w:ascii="Garamond" w:hAnsi="Garamond" w:cs="Traditional Arabic"/>
          <w:lang w:bidi="ar-EG"/>
        </w:rPr>
        <w:t>rhythmize</w:t>
      </w:r>
      <w:proofErr w:type="spellEnd"/>
      <w:r w:rsidR="00835549" w:rsidRPr="00835549">
        <w:rPr>
          <w:rFonts w:ascii="Garamond" w:hAnsi="Garamond" w:cs="Traditional Arabic"/>
          <w:lang w:bidi="ar-EG"/>
        </w:rPr>
        <w:t xml:space="preserve"> the world, so that it can be beautiful, a world without war and conflict. </w:t>
      </w:r>
      <w:proofErr w:type="gramStart"/>
      <w:r w:rsidR="00835549" w:rsidRPr="00835549">
        <w:rPr>
          <w:rFonts w:ascii="Garamond" w:hAnsi="Garamond" w:cs="Traditional Arabic"/>
          <w:lang w:bidi="ar-EG"/>
        </w:rPr>
        <w:t xml:space="preserve">In other words, making the world more beautiful </w:t>
      </w:r>
      <w:proofErr w:type="spellStart"/>
      <w:r w:rsidR="00835549" w:rsidRPr="000C1F40">
        <w:rPr>
          <w:rFonts w:ascii="Garamond" w:hAnsi="Garamond" w:cs="Traditional Arabic"/>
          <w:i/>
          <w:iCs/>
          <w:lang w:bidi="ar-EG"/>
        </w:rPr>
        <w:t>Memayu</w:t>
      </w:r>
      <w:proofErr w:type="spellEnd"/>
      <w:r w:rsidR="00835549" w:rsidRPr="000C1F40">
        <w:rPr>
          <w:rFonts w:ascii="Garamond" w:hAnsi="Garamond" w:cs="Traditional Arabic"/>
          <w:i/>
          <w:iCs/>
          <w:lang w:bidi="ar-EG"/>
        </w:rPr>
        <w:t xml:space="preserve"> </w:t>
      </w:r>
      <w:proofErr w:type="spellStart"/>
      <w:r w:rsidR="00835549" w:rsidRPr="000C1F40">
        <w:rPr>
          <w:rFonts w:ascii="Garamond" w:hAnsi="Garamond" w:cs="Traditional Arabic"/>
          <w:i/>
          <w:iCs/>
          <w:lang w:bidi="ar-EG"/>
        </w:rPr>
        <w:t>Hayuning</w:t>
      </w:r>
      <w:proofErr w:type="spellEnd"/>
      <w:r w:rsidR="00835549" w:rsidRPr="000C1F40">
        <w:rPr>
          <w:rFonts w:ascii="Garamond" w:hAnsi="Garamond" w:cs="Traditional Arabic"/>
          <w:i/>
          <w:iCs/>
          <w:lang w:bidi="ar-EG"/>
        </w:rPr>
        <w:t xml:space="preserve"> </w:t>
      </w:r>
      <w:proofErr w:type="spellStart"/>
      <w:r w:rsidR="00835549" w:rsidRPr="000C1F40">
        <w:rPr>
          <w:rFonts w:ascii="Garamond" w:hAnsi="Garamond" w:cs="Traditional Arabic"/>
          <w:i/>
          <w:iCs/>
          <w:lang w:bidi="ar-EG"/>
        </w:rPr>
        <w:t>Bawono</w:t>
      </w:r>
      <w:proofErr w:type="spellEnd"/>
      <w:r w:rsidR="000C1F40">
        <w:rPr>
          <w:rFonts w:ascii="Garamond" w:hAnsi="Garamond" w:cs="Traditional Arabic"/>
          <w:lang w:bidi="ar-EG"/>
        </w:rPr>
        <w:t>.</w:t>
      </w:r>
      <w:proofErr w:type="gramEnd"/>
      <w:r w:rsidR="00FB14E1" w:rsidRPr="00835549">
        <w:rPr>
          <w:rStyle w:val="FootnoteReference"/>
          <w:rFonts w:ascii="Garamond" w:hAnsi="Garamond"/>
          <w:rtl/>
        </w:rPr>
        <w:footnoteReference w:id="67"/>
      </w:r>
    </w:p>
    <w:p w:rsidR="00FB14E1" w:rsidRDefault="00946F92" w:rsidP="00946F92">
      <w:pPr>
        <w:ind w:left="14" w:firstLine="706"/>
        <w:jc w:val="both"/>
        <w:rPr>
          <w:rFonts w:ascii="Garamond" w:hAnsi="Garamond" w:cs="Traditional Arabic"/>
          <w:lang w:bidi="ar-EG"/>
        </w:rPr>
      </w:pPr>
      <w:r w:rsidRPr="00946F92">
        <w:rPr>
          <w:rFonts w:ascii="Garamond" w:hAnsi="Garamond" w:cs="Traditional Arabic"/>
          <w:lang w:bidi="ar-EG"/>
        </w:rPr>
        <w:t xml:space="preserve">The phenomenon of the "Living Hadith" perspective of </w:t>
      </w:r>
      <w:proofErr w:type="spellStart"/>
      <w:r w:rsidRPr="00946F92">
        <w:rPr>
          <w:rFonts w:ascii="Garamond" w:hAnsi="Garamond" w:cs="Traditional Arabic"/>
          <w:i/>
          <w:iCs/>
          <w:lang w:bidi="ar-EG"/>
        </w:rPr>
        <w:t>Mataram's</w:t>
      </w:r>
      <w:proofErr w:type="spellEnd"/>
      <w:r w:rsidRPr="00946F92">
        <w:rPr>
          <w:rFonts w:ascii="Garamond" w:hAnsi="Garamond" w:cs="Traditional Arabic"/>
          <w:i/>
          <w:iCs/>
          <w:lang w:bidi="ar-EG"/>
        </w:rPr>
        <w:t xml:space="preserve"> </w:t>
      </w:r>
      <w:proofErr w:type="spellStart"/>
      <w:r w:rsidRPr="00946F92">
        <w:rPr>
          <w:rFonts w:ascii="Garamond" w:hAnsi="Garamond" w:cs="Traditional Arabic"/>
          <w:i/>
          <w:iCs/>
          <w:lang w:bidi="ar-EG"/>
        </w:rPr>
        <w:t>Shalawāt</w:t>
      </w:r>
      <w:proofErr w:type="spellEnd"/>
      <w:r w:rsidRPr="00946F92">
        <w:rPr>
          <w:rFonts w:ascii="Garamond" w:hAnsi="Garamond" w:cs="Traditional Arabic"/>
          <w:i/>
          <w:iCs/>
          <w:lang w:bidi="ar-EG"/>
        </w:rPr>
        <w:t xml:space="preserve"> Dance</w:t>
      </w:r>
      <w:r w:rsidRPr="00946F92">
        <w:rPr>
          <w:rFonts w:ascii="Garamond" w:hAnsi="Garamond" w:cs="Traditional Arabic"/>
          <w:lang w:bidi="ar-EG"/>
        </w:rPr>
        <w:t xml:space="preserve"> includes: the religious principles used in the spiritual dance, the phenomenon of the "religious culture symbol," and the message of the prophetic hadith from the movements of the spiritual dance. The religious principles used in spiritual dance here are the phenomenon of traditions that bring together culture and religion</w:t>
      </w:r>
      <w:r>
        <w:rPr>
          <w:rFonts w:ascii="Garamond" w:hAnsi="Garamond" w:cs="Traditional Arabic"/>
          <w:lang w:bidi="ar-EG"/>
        </w:rPr>
        <w:t>,</w:t>
      </w:r>
      <w:r w:rsidR="00FB14E1" w:rsidRPr="00946F92">
        <w:rPr>
          <w:rStyle w:val="FootnoteReference"/>
          <w:rFonts w:ascii="Garamond" w:hAnsi="Garamond"/>
          <w:rtl/>
        </w:rPr>
        <w:footnoteReference w:id="68"/>
      </w:r>
      <w:r w:rsidR="00FB14E1" w:rsidRPr="00946F92">
        <w:rPr>
          <w:rFonts w:ascii="Garamond" w:hAnsi="Garamond" w:cs="Traditional Arabic"/>
          <w:rtl/>
          <w:lang w:bidi="ar-EG"/>
        </w:rPr>
        <w:t xml:space="preserve"> </w:t>
      </w:r>
      <w:r>
        <w:rPr>
          <w:rFonts w:ascii="Garamond" w:hAnsi="Garamond" w:cs="Traditional Arabic"/>
          <w:lang w:bidi="ar-EG"/>
        </w:rPr>
        <w:t xml:space="preserve"> t</w:t>
      </w:r>
      <w:r w:rsidRPr="00946F92">
        <w:rPr>
          <w:rFonts w:ascii="Garamond" w:hAnsi="Garamond" w:cs="Traditional Arabic"/>
          <w:lang w:bidi="ar-EG"/>
        </w:rPr>
        <w:t>he phenomenon of the “religious culture symbol” here is all about a religious message that is culturally oriented</w:t>
      </w:r>
      <w:r>
        <w:rPr>
          <w:rFonts w:ascii="Garamond" w:hAnsi="Garamond" w:cs="Traditional Arabic"/>
          <w:lang w:bidi="ar-EG"/>
        </w:rPr>
        <w:t>.</w:t>
      </w:r>
      <w:r w:rsidR="00FB14E1" w:rsidRPr="00946F92">
        <w:rPr>
          <w:rStyle w:val="FootnoteReference"/>
          <w:rFonts w:ascii="Garamond" w:hAnsi="Garamond"/>
          <w:rtl/>
        </w:rPr>
        <w:footnoteReference w:id="69"/>
      </w:r>
      <w:bookmarkStart w:id="8" w:name="_Toc190151707"/>
      <w:r>
        <w:rPr>
          <w:rFonts w:ascii="Garamond" w:hAnsi="Garamond" w:cs="Traditional Arabic"/>
          <w:lang w:bidi="ar-EG"/>
        </w:rPr>
        <w:t xml:space="preserve"> </w:t>
      </w:r>
      <w:r w:rsidRPr="00946F92">
        <w:rPr>
          <w:rFonts w:ascii="Garamond" w:hAnsi="Garamond" w:cs="Traditional Arabic"/>
          <w:lang w:bidi="ar-EG"/>
        </w:rPr>
        <w:t xml:space="preserve">In this context, the prayer to the Prophet </w:t>
      </w:r>
      <w:r>
        <w:rPr>
          <w:rFonts w:ascii="Traditional Arabic" w:hAnsi="Traditional Arabic" w:cs="Traditional Arabic"/>
          <w:rtl/>
          <w:lang w:bidi="ar-EG"/>
        </w:rPr>
        <w:t>ﷺ</w:t>
      </w:r>
      <w:r w:rsidRPr="00946F92">
        <w:rPr>
          <w:rFonts w:ascii="Garamond" w:hAnsi="Garamond" w:cs="Traditional Arabic"/>
          <w:lang w:bidi="ar-EG"/>
        </w:rPr>
        <w:t xml:space="preserve"> is performed according to Javanese culture, accompanied by dances between its </w:t>
      </w:r>
      <w:proofErr w:type="gramStart"/>
      <w:r w:rsidRPr="00946F92">
        <w:rPr>
          <w:rFonts w:ascii="Garamond" w:hAnsi="Garamond" w:cs="Traditional Arabic"/>
          <w:lang w:bidi="ar-EG"/>
        </w:rPr>
        <w:t>recitation</w:t>
      </w:r>
      <w:proofErr w:type="gramEnd"/>
      <w:r w:rsidRPr="00946F92">
        <w:rPr>
          <w:rFonts w:ascii="Garamond" w:hAnsi="Garamond" w:cs="Traditional Arabic"/>
          <w:lang w:bidi="ar-EG"/>
        </w:rPr>
        <w:t xml:space="preserve">. Despite the spiritual dimensions that these traditions attempt to revive, they are based on a non-Islamic cultural heritage, which raises the question of their legitimacy in light of the rules of the </w:t>
      </w:r>
      <w:proofErr w:type="spellStart"/>
      <w:r w:rsidRPr="00946F92">
        <w:rPr>
          <w:rFonts w:ascii="Garamond" w:hAnsi="Garamond" w:cs="Traditional Arabic"/>
          <w:i/>
          <w:iCs/>
          <w:lang w:bidi="ar-EG"/>
        </w:rPr>
        <w:t>Sunnah</w:t>
      </w:r>
      <w:proofErr w:type="spellEnd"/>
      <w:r w:rsidR="00FB14E1" w:rsidRPr="00946F92">
        <w:rPr>
          <w:rFonts w:ascii="Garamond" w:hAnsi="Garamond" w:cs="Traditional Arabic"/>
          <w:rtl/>
          <w:lang w:bidi="ar-EG"/>
        </w:rPr>
        <w:t>.</w:t>
      </w:r>
    </w:p>
    <w:p w:rsidR="0042535C" w:rsidRDefault="0042535C" w:rsidP="00946F92">
      <w:pPr>
        <w:ind w:left="14" w:firstLine="706"/>
        <w:jc w:val="both"/>
        <w:rPr>
          <w:rFonts w:ascii="Garamond" w:hAnsi="Garamond" w:cs="Traditional Arabic"/>
          <w:lang w:bidi="ar-EG"/>
        </w:rPr>
      </w:pPr>
    </w:p>
    <w:p w:rsidR="00946F92" w:rsidRPr="0042535C" w:rsidRDefault="00946F92" w:rsidP="0042535C">
      <w:pPr>
        <w:pStyle w:val="ListParagraph"/>
        <w:numPr>
          <w:ilvl w:val="0"/>
          <w:numId w:val="3"/>
        </w:numPr>
        <w:ind w:left="720"/>
        <w:jc w:val="both"/>
        <w:rPr>
          <w:rFonts w:ascii="Garamond" w:hAnsi="Garamond" w:cs="Traditional Arabic"/>
          <w:b/>
          <w:bCs/>
          <w:lang w:bidi="ar-EG"/>
        </w:rPr>
      </w:pPr>
      <w:proofErr w:type="spellStart"/>
      <w:r w:rsidRPr="002A42D2">
        <w:rPr>
          <w:rFonts w:ascii="Garamond" w:hAnsi="Garamond" w:cs="Traditional Arabic"/>
          <w:b/>
          <w:bCs/>
          <w:i/>
          <w:iCs/>
          <w:lang w:bidi="ar-EG"/>
        </w:rPr>
        <w:t>Tradisi</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Seren</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Taun</w:t>
      </w:r>
      <w:proofErr w:type="spellEnd"/>
      <w:r w:rsidRPr="002A42D2">
        <w:rPr>
          <w:rFonts w:ascii="Garamond" w:hAnsi="Garamond" w:cs="Traditional Arabic"/>
          <w:b/>
          <w:bCs/>
          <w:i/>
          <w:iCs/>
          <w:lang w:bidi="ar-EG"/>
        </w:rPr>
        <w:t xml:space="preserve"> </w:t>
      </w:r>
      <w:r w:rsidR="0042535C" w:rsidRPr="002A42D2">
        <w:rPr>
          <w:rFonts w:ascii="Garamond" w:hAnsi="Garamond" w:cs="Traditional Arabic"/>
          <w:b/>
          <w:bCs/>
          <w:i/>
          <w:iCs/>
          <w:lang w:bidi="ar-EG"/>
        </w:rPr>
        <w:t>d</w:t>
      </w:r>
      <w:r w:rsidRPr="002A42D2">
        <w:rPr>
          <w:rFonts w:ascii="Garamond" w:hAnsi="Garamond" w:cs="Traditional Arabic"/>
          <w:b/>
          <w:bCs/>
          <w:i/>
          <w:iCs/>
          <w:lang w:bidi="ar-EG"/>
        </w:rPr>
        <w:t xml:space="preserve">i </w:t>
      </w:r>
      <w:proofErr w:type="spellStart"/>
      <w:r w:rsidRPr="002A42D2">
        <w:rPr>
          <w:rFonts w:ascii="Garamond" w:hAnsi="Garamond" w:cs="Traditional Arabic"/>
          <w:b/>
          <w:bCs/>
          <w:i/>
          <w:iCs/>
          <w:lang w:bidi="ar-EG"/>
        </w:rPr>
        <w:t>Kasepuhan</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Citorek</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Lebak</w:t>
      </w:r>
      <w:proofErr w:type="spellEnd"/>
      <w:r w:rsidRPr="002A42D2">
        <w:rPr>
          <w:rFonts w:ascii="Garamond" w:hAnsi="Garamond" w:cs="Traditional Arabic"/>
          <w:b/>
          <w:bCs/>
          <w:i/>
          <w:iCs/>
          <w:lang w:bidi="ar-EG"/>
        </w:rPr>
        <w:t xml:space="preserve"> </w:t>
      </w:r>
      <w:proofErr w:type="spellStart"/>
      <w:r w:rsidRPr="002A42D2">
        <w:rPr>
          <w:rFonts w:ascii="Garamond" w:hAnsi="Garamond" w:cs="Traditional Arabic"/>
          <w:b/>
          <w:bCs/>
          <w:i/>
          <w:iCs/>
          <w:lang w:bidi="ar-EG"/>
        </w:rPr>
        <w:t>Banten</w:t>
      </w:r>
      <w:proofErr w:type="spellEnd"/>
      <w:r w:rsidRPr="0042535C">
        <w:rPr>
          <w:rFonts w:ascii="Garamond" w:hAnsi="Garamond" w:cs="Traditional Arabic"/>
          <w:b/>
          <w:bCs/>
          <w:lang w:bidi="ar-EG"/>
        </w:rPr>
        <w:t xml:space="preserve"> (</w:t>
      </w:r>
      <w:proofErr w:type="spellStart"/>
      <w:r w:rsidRPr="002A42D2">
        <w:rPr>
          <w:rFonts w:ascii="Garamond" w:hAnsi="Garamond" w:cs="Traditional Arabic"/>
          <w:b/>
          <w:bCs/>
          <w:i/>
          <w:iCs/>
          <w:lang w:bidi="ar-EG"/>
        </w:rPr>
        <w:t>Studi</w:t>
      </w:r>
      <w:proofErr w:type="spellEnd"/>
      <w:r w:rsidRPr="002A42D2">
        <w:rPr>
          <w:rFonts w:ascii="Garamond" w:hAnsi="Garamond" w:cs="Traditional Arabic"/>
          <w:b/>
          <w:bCs/>
          <w:i/>
          <w:iCs/>
          <w:lang w:bidi="ar-EG"/>
        </w:rPr>
        <w:t xml:space="preserve"> Living </w:t>
      </w:r>
      <w:proofErr w:type="spellStart"/>
      <w:r w:rsidRPr="002A42D2">
        <w:rPr>
          <w:rFonts w:ascii="Garamond" w:hAnsi="Garamond" w:cs="Traditional Arabic"/>
          <w:b/>
          <w:bCs/>
          <w:i/>
          <w:iCs/>
          <w:lang w:bidi="ar-EG"/>
        </w:rPr>
        <w:t>Hadis</w:t>
      </w:r>
      <w:proofErr w:type="spellEnd"/>
      <w:r w:rsidRPr="0042535C">
        <w:rPr>
          <w:rFonts w:ascii="Garamond" w:hAnsi="Garamond" w:cs="Traditional Arabic"/>
          <w:b/>
          <w:bCs/>
          <w:lang w:bidi="ar-EG"/>
        </w:rPr>
        <w:t>)</w:t>
      </w:r>
    </w:p>
    <w:bookmarkEnd w:id="8"/>
    <w:p w:rsidR="00FB14E1" w:rsidRPr="002A42D2" w:rsidRDefault="002A42D2" w:rsidP="005C31FD">
      <w:pPr>
        <w:ind w:firstLine="720"/>
        <w:jc w:val="both"/>
        <w:rPr>
          <w:rFonts w:ascii="Garamond" w:hAnsi="Garamond" w:cs="Traditional Arabic"/>
          <w:rtl/>
          <w:lang w:bidi="ar-EG"/>
        </w:rPr>
      </w:pPr>
      <w:r w:rsidRPr="002A42D2">
        <w:rPr>
          <w:rFonts w:ascii="Garamond" w:hAnsi="Garamond" w:cs="Traditional Arabic"/>
          <w:lang w:bidi="ar-EG"/>
        </w:rPr>
        <w:t xml:space="preserve">One of the Indonesian cultural traditions found in </w:t>
      </w:r>
      <w:proofErr w:type="spellStart"/>
      <w:r w:rsidRPr="002A42D2">
        <w:rPr>
          <w:rFonts w:ascii="Garamond" w:hAnsi="Garamond" w:cs="Traditional Arabic"/>
          <w:lang w:bidi="ar-EG"/>
        </w:rPr>
        <w:t>Sundanese</w:t>
      </w:r>
      <w:proofErr w:type="spellEnd"/>
      <w:r w:rsidRPr="002A42D2">
        <w:rPr>
          <w:rFonts w:ascii="Garamond" w:hAnsi="Garamond" w:cs="Traditional Arabic"/>
          <w:lang w:bidi="ar-EG"/>
        </w:rPr>
        <w:t xml:space="preserve"> traditions is the </w:t>
      </w:r>
      <w:proofErr w:type="spellStart"/>
      <w:r w:rsidRPr="00DF425A">
        <w:rPr>
          <w:rFonts w:ascii="Garamond" w:hAnsi="Garamond" w:cs="Traditional Arabic"/>
          <w:i/>
          <w:iCs/>
          <w:lang w:bidi="ar-EG"/>
        </w:rPr>
        <w:t>Seren</w:t>
      </w:r>
      <w:proofErr w:type="spellEnd"/>
      <w:r w:rsidRPr="00DF425A">
        <w:rPr>
          <w:rFonts w:ascii="Garamond" w:hAnsi="Garamond" w:cs="Traditional Arabic"/>
          <w:i/>
          <w:iCs/>
          <w:lang w:bidi="ar-EG"/>
        </w:rPr>
        <w:t xml:space="preserve"> </w:t>
      </w:r>
      <w:proofErr w:type="spellStart"/>
      <w:r w:rsidRPr="00DF425A">
        <w:rPr>
          <w:rFonts w:ascii="Garamond" w:hAnsi="Garamond" w:cs="Traditional Arabic"/>
          <w:i/>
          <w:iCs/>
          <w:lang w:bidi="ar-EG"/>
        </w:rPr>
        <w:t>Taun</w:t>
      </w:r>
      <w:proofErr w:type="spellEnd"/>
      <w:r w:rsidRPr="002A42D2">
        <w:rPr>
          <w:rFonts w:ascii="Garamond" w:hAnsi="Garamond" w:cs="Traditional Arabic"/>
          <w:lang w:bidi="ar-EG"/>
        </w:rPr>
        <w:t xml:space="preserve"> culture practiced by the </w:t>
      </w:r>
      <w:proofErr w:type="spellStart"/>
      <w:proofErr w:type="gramStart"/>
      <w:r w:rsidRPr="002A42D2">
        <w:rPr>
          <w:rFonts w:ascii="Garamond" w:hAnsi="Garamond" w:cs="Traditional Arabic"/>
          <w:lang w:bidi="ar-EG"/>
        </w:rPr>
        <w:t>Seturik</w:t>
      </w:r>
      <w:proofErr w:type="spellEnd"/>
      <w:r w:rsidR="00DF425A">
        <w:rPr>
          <w:rFonts w:ascii="Garamond" w:hAnsi="Garamond" w:cs="Traditional Arabic"/>
          <w:lang w:bidi="ar-EG"/>
        </w:rPr>
        <w:t xml:space="preserve"> </w:t>
      </w:r>
      <w:r w:rsidRPr="002A42D2">
        <w:rPr>
          <w:rFonts w:ascii="Garamond" w:hAnsi="Garamond" w:cs="Traditional Arabic"/>
          <w:lang w:bidi="ar-EG"/>
        </w:rPr>
        <w:t xml:space="preserve"> </w:t>
      </w:r>
      <w:proofErr w:type="spellStart"/>
      <w:r w:rsidRPr="002A42D2">
        <w:rPr>
          <w:rFonts w:ascii="Garamond" w:hAnsi="Garamond" w:cs="Traditional Arabic"/>
          <w:lang w:bidi="ar-EG"/>
        </w:rPr>
        <w:t>Lebak</w:t>
      </w:r>
      <w:proofErr w:type="spellEnd"/>
      <w:proofErr w:type="gramEnd"/>
      <w:r w:rsidRPr="002A42D2">
        <w:rPr>
          <w:rFonts w:ascii="Garamond" w:hAnsi="Garamond" w:cs="Traditional Arabic"/>
          <w:lang w:bidi="ar-EG"/>
        </w:rPr>
        <w:t xml:space="preserve"> </w:t>
      </w:r>
      <w:proofErr w:type="spellStart"/>
      <w:r w:rsidRPr="002A42D2">
        <w:rPr>
          <w:rFonts w:ascii="Garamond" w:hAnsi="Garamond" w:cs="Traditional Arabic"/>
          <w:lang w:bidi="ar-EG"/>
        </w:rPr>
        <w:t>Banten</w:t>
      </w:r>
      <w:proofErr w:type="spellEnd"/>
      <w:r w:rsidRPr="002A42D2">
        <w:rPr>
          <w:rFonts w:ascii="Garamond" w:hAnsi="Garamond" w:cs="Traditional Arabic"/>
          <w:lang w:bidi="ar-EG"/>
        </w:rPr>
        <w:t xml:space="preserve"> community. The term </w:t>
      </w:r>
      <w:proofErr w:type="spellStart"/>
      <w:r w:rsidRPr="00DF425A">
        <w:rPr>
          <w:rFonts w:ascii="Garamond" w:hAnsi="Garamond" w:cs="Traditional Arabic"/>
          <w:i/>
          <w:iCs/>
          <w:lang w:bidi="ar-EG"/>
        </w:rPr>
        <w:t>Seren</w:t>
      </w:r>
      <w:proofErr w:type="spellEnd"/>
      <w:r w:rsidRPr="00DF425A">
        <w:rPr>
          <w:rFonts w:ascii="Garamond" w:hAnsi="Garamond" w:cs="Traditional Arabic"/>
          <w:i/>
          <w:iCs/>
          <w:lang w:bidi="ar-EG"/>
        </w:rPr>
        <w:t xml:space="preserve"> </w:t>
      </w:r>
      <w:proofErr w:type="spellStart"/>
      <w:r w:rsidRPr="00DF425A">
        <w:rPr>
          <w:rFonts w:ascii="Garamond" w:hAnsi="Garamond" w:cs="Traditional Arabic"/>
          <w:i/>
          <w:iCs/>
          <w:lang w:bidi="ar-EG"/>
        </w:rPr>
        <w:t>Taun</w:t>
      </w:r>
      <w:proofErr w:type="spellEnd"/>
      <w:r w:rsidRPr="00DF425A">
        <w:rPr>
          <w:rFonts w:ascii="Garamond" w:hAnsi="Garamond" w:cs="Traditional Arabic"/>
          <w:i/>
          <w:iCs/>
          <w:lang w:bidi="ar-EG"/>
        </w:rPr>
        <w:t xml:space="preserve"> </w:t>
      </w:r>
      <w:r w:rsidRPr="002A42D2">
        <w:rPr>
          <w:rFonts w:ascii="Garamond" w:hAnsi="Garamond" w:cs="Traditional Arabic"/>
          <w:lang w:bidi="ar-EG"/>
        </w:rPr>
        <w:t xml:space="preserve">comes from the </w:t>
      </w:r>
      <w:proofErr w:type="spellStart"/>
      <w:r w:rsidRPr="002A42D2">
        <w:rPr>
          <w:rFonts w:ascii="Garamond" w:hAnsi="Garamond" w:cs="Traditional Arabic"/>
          <w:lang w:bidi="ar-EG"/>
        </w:rPr>
        <w:t>Sundanese</w:t>
      </w:r>
      <w:proofErr w:type="spellEnd"/>
      <w:r w:rsidRPr="002A42D2">
        <w:rPr>
          <w:rFonts w:ascii="Garamond" w:hAnsi="Garamond" w:cs="Traditional Arabic"/>
          <w:lang w:bidi="ar-EG"/>
        </w:rPr>
        <w:t xml:space="preserve"> word </w:t>
      </w:r>
      <w:proofErr w:type="spellStart"/>
      <w:r w:rsidRPr="00DF425A">
        <w:rPr>
          <w:rFonts w:ascii="Garamond" w:hAnsi="Garamond" w:cs="Traditional Arabic"/>
          <w:i/>
          <w:iCs/>
          <w:lang w:bidi="ar-EG"/>
        </w:rPr>
        <w:t>Seren</w:t>
      </w:r>
      <w:proofErr w:type="spellEnd"/>
      <w:r w:rsidRPr="002A42D2">
        <w:rPr>
          <w:rFonts w:ascii="Garamond" w:hAnsi="Garamond" w:cs="Traditional Arabic"/>
          <w:lang w:bidi="ar-EG"/>
        </w:rPr>
        <w:t>, which means to give</w:t>
      </w:r>
      <w:r w:rsidR="00DF425A">
        <w:rPr>
          <w:rFonts w:ascii="Garamond" w:hAnsi="Garamond" w:cs="Traditional Arabic"/>
          <w:lang w:bidi="ar-EG"/>
        </w:rPr>
        <w:t>.</w:t>
      </w:r>
      <w:r w:rsidR="00FB14E1" w:rsidRPr="002A42D2">
        <w:rPr>
          <w:rStyle w:val="FootnoteReference"/>
          <w:rFonts w:ascii="Garamond" w:hAnsi="Garamond"/>
          <w:rtl/>
        </w:rPr>
        <w:footnoteReference w:id="70"/>
      </w:r>
      <w:r w:rsidR="00DF425A">
        <w:rPr>
          <w:rFonts w:ascii="Garamond" w:hAnsi="Garamond" w:cs="Traditional Arabic"/>
          <w:lang w:bidi="ar-EG"/>
        </w:rPr>
        <w:t xml:space="preserve"> </w:t>
      </w:r>
      <w:r w:rsidRPr="002A42D2">
        <w:rPr>
          <w:rFonts w:ascii="Garamond" w:hAnsi="Garamond" w:cs="Traditional Arabic"/>
          <w:lang w:bidi="ar-EG"/>
        </w:rPr>
        <w:t xml:space="preserve">The word Tuan means “year”. Thus, this </w:t>
      </w:r>
      <w:proofErr w:type="spellStart"/>
      <w:r w:rsidRPr="00DF425A">
        <w:rPr>
          <w:rFonts w:ascii="Garamond" w:hAnsi="Garamond" w:cs="Traditional Arabic"/>
          <w:i/>
          <w:iCs/>
          <w:lang w:bidi="ar-EG"/>
        </w:rPr>
        <w:t>Seren</w:t>
      </w:r>
      <w:proofErr w:type="spellEnd"/>
      <w:r w:rsidRPr="00DF425A">
        <w:rPr>
          <w:rFonts w:ascii="Garamond" w:hAnsi="Garamond" w:cs="Traditional Arabic"/>
          <w:i/>
          <w:iCs/>
          <w:lang w:bidi="ar-EG"/>
        </w:rPr>
        <w:t xml:space="preserve"> </w:t>
      </w:r>
      <w:proofErr w:type="spellStart"/>
      <w:r w:rsidRPr="00DF425A">
        <w:rPr>
          <w:rFonts w:ascii="Garamond" w:hAnsi="Garamond" w:cs="Traditional Arabic"/>
          <w:i/>
          <w:iCs/>
          <w:lang w:bidi="ar-EG"/>
        </w:rPr>
        <w:t>T</w:t>
      </w:r>
      <w:r w:rsidR="00DF425A" w:rsidRPr="00DF425A">
        <w:rPr>
          <w:rFonts w:ascii="Garamond" w:hAnsi="Garamond" w:cs="Traditional Arabic"/>
          <w:i/>
          <w:iCs/>
          <w:lang w:bidi="ar-EG"/>
        </w:rPr>
        <w:t>a</w:t>
      </w:r>
      <w:r w:rsidRPr="00DF425A">
        <w:rPr>
          <w:rFonts w:ascii="Garamond" w:hAnsi="Garamond" w:cs="Traditional Arabic"/>
          <w:i/>
          <w:iCs/>
          <w:lang w:bidi="ar-EG"/>
        </w:rPr>
        <w:t>un</w:t>
      </w:r>
      <w:proofErr w:type="spellEnd"/>
      <w:r w:rsidRPr="002A42D2">
        <w:rPr>
          <w:rFonts w:ascii="Garamond" w:hAnsi="Garamond" w:cs="Traditional Arabic"/>
          <w:lang w:bidi="ar-EG"/>
        </w:rPr>
        <w:t xml:space="preserve"> tradition is giving thanks for the cultivation of love in the form of crops year-to-year</w:t>
      </w:r>
      <w:r w:rsidR="00DF425A">
        <w:rPr>
          <w:rFonts w:ascii="Garamond" w:hAnsi="Garamond" w:cs="Traditional Arabic"/>
          <w:lang w:bidi="ar-EG"/>
        </w:rPr>
        <w:t>.</w:t>
      </w:r>
      <w:r w:rsidR="00FB14E1" w:rsidRPr="002A42D2">
        <w:rPr>
          <w:rStyle w:val="FootnoteReference"/>
          <w:rFonts w:ascii="Garamond" w:hAnsi="Garamond"/>
          <w:rtl/>
        </w:rPr>
        <w:footnoteReference w:id="71"/>
      </w:r>
      <w:r w:rsidR="00DF425A">
        <w:rPr>
          <w:rFonts w:ascii="Garamond" w:hAnsi="Garamond" w:cs="Traditional Arabic"/>
          <w:lang w:bidi="ar-EG"/>
        </w:rPr>
        <w:t xml:space="preserve"> </w:t>
      </w:r>
      <w:r w:rsidRPr="002A42D2">
        <w:rPr>
          <w:rFonts w:ascii="Garamond" w:hAnsi="Garamond" w:cs="Traditional Arabic"/>
          <w:lang w:bidi="ar-EG"/>
        </w:rPr>
        <w:t xml:space="preserve">In the traditional life of </w:t>
      </w:r>
      <w:proofErr w:type="spellStart"/>
      <w:r w:rsidRPr="002A42D2">
        <w:rPr>
          <w:rFonts w:ascii="Garamond" w:hAnsi="Garamond" w:cs="Traditional Arabic"/>
          <w:lang w:bidi="ar-EG"/>
        </w:rPr>
        <w:t>Sundanese</w:t>
      </w:r>
      <w:proofErr w:type="spellEnd"/>
      <w:r w:rsidRPr="002A42D2">
        <w:rPr>
          <w:rFonts w:ascii="Garamond" w:hAnsi="Garamond" w:cs="Traditional Arabic"/>
          <w:lang w:bidi="ar-EG"/>
        </w:rPr>
        <w:t xml:space="preserve"> farmers, </w:t>
      </w:r>
      <w:proofErr w:type="spellStart"/>
      <w:r w:rsidRPr="00DF425A">
        <w:rPr>
          <w:rFonts w:ascii="Garamond" w:hAnsi="Garamond" w:cs="Traditional Arabic"/>
          <w:i/>
          <w:iCs/>
          <w:lang w:bidi="ar-EG"/>
        </w:rPr>
        <w:t>Seren</w:t>
      </w:r>
      <w:proofErr w:type="spellEnd"/>
      <w:r w:rsidRPr="00DF425A">
        <w:rPr>
          <w:rFonts w:ascii="Garamond" w:hAnsi="Garamond" w:cs="Traditional Arabic"/>
          <w:i/>
          <w:iCs/>
          <w:lang w:bidi="ar-EG"/>
        </w:rPr>
        <w:t xml:space="preserve"> </w:t>
      </w:r>
      <w:proofErr w:type="spellStart"/>
      <w:r w:rsidRPr="00DF425A">
        <w:rPr>
          <w:rFonts w:ascii="Garamond" w:hAnsi="Garamond" w:cs="Traditional Arabic"/>
          <w:i/>
          <w:iCs/>
          <w:lang w:bidi="ar-EG"/>
        </w:rPr>
        <w:t>Taun</w:t>
      </w:r>
      <w:proofErr w:type="spellEnd"/>
      <w:r w:rsidRPr="002A42D2">
        <w:rPr>
          <w:rFonts w:ascii="Garamond" w:hAnsi="Garamond" w:cs="Traditional Arabic"/>
          <w:lang w:bidi="ar-EG"/>
        </w:rPr>
        <w:t xml:space="preserve"> is a way of thanking God Almighty for all his blessings. This tradition is done annually in the agricultural sector, and </w:t>
      </w:r>
      <w:r w:rsidRPr="002A42D2">
        <w:rPr>
          <w:rFonts w:ascii="Garamond" w:hAnsi="Garamond" w:cs="Traditional Arabic"/>
          <w:lang w:bidi="ar-EG"/>
        </w:rPr>
        <w:lastRenderedPageBreak/>
        <w:t xml:space="preserve">they hope that their farming will increase and strengthen. </w:t>
      </w:r>
      <w:proofErr w:type="spellStart"/>
      <w:r w:rsidRPr="00DF425A">
        <w:rPr>
          <w:rFonts w:ascii="Garamond" w:hAnsi="Garamond" w:cs="Traditional Arabic"/>
          <w:i/>
          <w:iCs/>
          <w:lang w:bidi="ar-EG"/>
        </w:rPr>
        <w:t>Seren</w:t>
      </w:r>
      <w:proofErr w:type="spellEnd"/>
      <w:r w:rsidRPr="00DF425A">
        <w:rPr>
          <w:rFonts w:ascii="Garamond" w:hAnsi="Garamond" w:cs="Traditional Arabic"/>
          <w:i/>
          <w:iCs/>
          <w:lang w:bidi="ar-EG"/>
        </w:rPr>
        <w:t xml:space="preserve"> </w:t>
      </w:r>
      <w:proofErr w:type="spellStart"/>
      <w:r w:rsidRPr="00DF425A">
        <w:rPr>
          <w:rFonts w:ascii="Garamond" w:hAnsi="Garamond" w:cs="Traditional Arabic"/>
          <w:i/>
          <w:iCs/>
          <w:lang w:bidi="ar-EG"/>
        </w:rPr>
        <w:t>Taun</w:t>
      </w:r>
      <w:proofErr w:type="spellEnd"/>
      <w:r w:rsidRPr="002A42D2">
        <w:rPr>
          <w:rFonts w:ascii="Garamond" w:hAnsi="Garamond" w:cs="Traditional Arabic"/>
          <w:lang w:bidi="ar-EG"/>
        </w:rPr>
        <w:t xml:space="preserve"> also has values that are beneficial to people and their culture, such as the value of cooperation</w:t>
      </w:r>
      <w:r w:rsidR="00DF425A">
        <w:rPr>
          <w:rFonts w:ascii="Garamond" w:hAnsi="Garamond" w:cs="Traditional Arabic"/>
          <w:lang w:bidi="ar-EG"/>
        </w:rPr>
        <w:t>.</w:t>
      </w:r>
      <w:r w:rsidR="00FB14E1" w:rsidRPr="002A42D2">
        <w:rPr>
          <w:rStyle w:val="FootnoteReference"/>
          <w:rFonts w:ascii="Garamond" w:hAnsi="Garamond"/>
          <w:rtl/>
        </w:rPr>
        <w:footnoteReference w:id="72"/>
      </w:r>
    </w:p>
    <w:p w:rsidR="00FB14E1" w:rsidRPr="006133CA" w:rsidRDefault="006133CA" w:rsidP="00F952FB">
      <w:pPr>
        <w:ind w:firstLine="720"/>
        <w:jc w:val="both"/>
        <w:rPr>
          <w:rFonts w:ascii="Garamond" w:hAnsi="Garamond" w:cs="Traditional Arabic"/>
          <w:rtl/>
          <w:lang w:bidi="ar-EG"/>
        </w:rPr>
      </w:pPr>
      <w:r w:rsidRPr="006133CA">
        <w:rPr>
          <w:rFonts w:ascii="Garamond" w:hAnsi="Garamond" w:cs="Traditional Arabic"/>
          <w:lang w:bidi="ar-EG"/>
        </w:rPr>
        <w:t xml:space="preserve">Residents of </w:t>
      </w:r>
      <w:proofErr w:type="spellStart"/>
      <w:r w:rsidRPr="006133CA">
        <w:rPr>
          <w:rFonts w:ascii="Garamond" w:hAnsi="Garamond" w:cs="Traditional Arabic"/>
          <w:lang w:bidi="ar-EG"/>
        </w:rPr>
        <w:t>Citorek</w:t>
      </w:r>
      <w:proofErr w:type="spellEnd"/>
      <w:r w:rsidRPr="006133CA">
        <w:rPr>
          <w:rFonts w:ascii="Garamond" w:hAnsi="Garamond" w:cs="Traditional Arabic"/>
          <w:lang w:bidi="ar-EG"/>
        </w:rPr>
        <w:t xml:space="preserve"> </w:t>
      </w:r>
      <w:proofErr w:type="spellStart"/>
      <w:r w:rsidRPr="006133CA">
        <w:rPr>
          <w:rFonts w:ascii="Garamond" w:hAnsi="Garamond" w:cs="Traditional Arabic"/>
          <w:lang w:bidi="ar-EG"/>
        </w:rPr>
        <w:t>Lebak</w:t>
      </w:r>
      <w:proofErr w:type="spellEnd"/>
      <w:r w:rsidRPr="006133CA">
        <w:rPr>
          <w:rFonts w:ascii="Garamond" w:hAnsi="Garamond" w:cs="Traditional Arabic"/>
          <w:lang w:bidi="ar-EG"/>
        </w:rPr>
        <w:t xml:space="preserve"> </w:t>
      </w:r>
      <w:proofErr w:type="spellStart"/>
      <w:r w:rsidRPr="006133CA">
        <w:rPr>
          <w:rFonts w:ascii="Garamond" w:hAnsi="Garamond" w:cs="Traditional Arabic"/>
          <w:lang w:bidi="ar-EG"/>
        </w:rPr>
        <w:t>Banten</w:t>
      </w:r>
      <w:proofErr w:type="spellEnd"/>
      <w:r w:rsidRPr="006133CA">
        <w:rPr>
          <w:rFonts w:ascii="Garamond" w:hAnsi="Garamond" w:cs="Traditional Arabic"/>
          <w:lang w:bidi="ar-EG"/>
        </w:rPr>
        <w:t xml:space="preserve"> depend on their own beliefs to unite themselves with nature, and respect the goddess of Rice, </w:t>
      </w:r>
      <w:proofErr w:type="spellStart"/>
      <w:r w:rsidRPr="006133CA">
        <w:rPr>
          <w:rFonts w:ascii="Garamond" w:hAnsi="Garamond" w:cs="Traditional Arabic"/>
          <w:lang w:bidi="ar-EG"/>
        </w:rPr>
        <w:t>Nyi</w:t>
      </w:r>
      <w:proofErr w:type="spellEnd"/>
      <w:r w:rsidRPr="006133CA">
        <w:rPr>
          <w:rFonts w:ascii="Garamond" w:hAnsi="Garamond" w:cs="Traditional Arabic"/>
          <w:lang w:bidi="ar-EG"/>
        </w:rPr>
        <w:t xml:space="preserve"> </w:t>
      </w:r>
      <w:proofErr w:type="spellStart"/>
      <w:r w:rsidRPr="006133CA">
        <w:rPr>
          <w:rFonts w:ascii="Garamond" w:hAnsi="Garamond" w:cs="Traditional Arabic"/>
          <w:lang w:bidi="ar-EG"/>
        </w:rPr>
        <w:t>Pohati</w:t>
      </w:r>
      <w:proofErr w:type="spellEnd"/>
      <w:r w:rsidRPr="006133CA">
        <w:rPr>
          <w:rFonts w:ascii="Garamond" w:hAnsi="Garamond" w:cs="Traditional Arabic"/>
          <w:lang w:bidi="ar-EG"/>
        </w:rPr>
        <w:t xml:space="preserve">. </w:t>
      </w:r>
      <w:proofErr w:type="spellStart"/>
      <w:r w:rsidRPr="006133CA">
        <w:rPr>
          <w:rFonts w:ascii="Garamond" w:hAnsi="Garamond" w:cs="Traditional Arabic"/>
          <w:lang w:bidi="ar-EG"/>
        </w:rPr>
        <w:t>Nyi</w:t>
      </w:r>
      <w:proofErr w:type="spellEnd"/>
      <w:r w:rsidRPr="006133CA">
        <w:rPr>
          <w:rFonts w:ascii="Garamond" w:hAnsi="Garamond" w:cs="Traditional Arabic"/>
          <w:lang w:bidi="ar-EG"/>
        </w:rPr>
        <w:t xml:space="preserve"> </w:t>
      </w:r>
      <w:proofErr w:type="spellStart"/>
      <w:r w:rsidRPr="006133CA">
        <w:rPr>
          <w:rFonts w:ascii="Garamond" w:hAnsi="Garamond" w:cs="Traditional Arabic"/>
          <w:lang w:bidi="ar-EG"/>
        </w:rPr>
        <w:t>Pohati</w:t>
      </w:r>
      <w:proofErr w:type="spellEnd"/>
      <w:r w:rsidRPr="006133CA">
        <w:rPr>
          <w:rFonts w:ascii="Garamond" w:hAnsi="Garamond" w:cs="Traditional Arabic"/>
          <w:lang w:bidi="ar-EG"/>
        </w:rPr>
        <w:t xml:space="preserve"> resides in rice once a year, and the community follows local wisdom and utilizes the arts as entertainment</w:t>
      </w:r>
      <w:r w:rsidR="00FB14E1" w:rsidRPr="006133CA">
        <w:rPr>
          <w:rFonts w:ascii="Garamond" w:hAnsi="Garamond" w:cs="Traditional Arabic"/>
          <w:rtl/>
          <w:lang w:bidi="ar-EG"/>
        </w:rPr>
        <w:t>.</w:t>
      </w:r>
      <w:r w:rsidR="00FB14E1" w:rsidRPr="006133CA">
        <w:rPr>
          <w:rStyle w:val="FootnoteReference"/>
          <w:rFonts w:ascii="Garamond" w:hAnsi="Garamond"/>
          <w:rtl/>
        </w:rPr>
        <w:footnoteReference w:id="73"/>
      </w:r>
      <w:r w:rsidR="00FB14E1" w:rsidRPr="006133CA">
        <w:rPr>
          <w:rFonts w:ascii="Garamond" w:hAnsi="Garamond" w:cs="Traditional Arabic"/>
          <w:rtl/>
          <w:lang w:bidi="ar-EG"/>
        </w:rPr>
        <w:t xml:space="preserve"> </w:t>
      </w:r>
      <w:r w:rsidRPr="006133CA">
        <w:rPr>
          <w:rFonts w:ascii="Garamond" w:hAnsi="Garamond" w:cs="Traditional Arabic"/>
          <w:lang w:bidi="ar-EG"/>
        </w:rPr>
        <w:t xml:space="preserve">This tradition of </w:t>
      </w:r>
      <w:proofErr w:type="spellStart"/>
      <w:r w:rsidRPr="006133CA">
        <w:rPr>
          <w:rFonts w:ascii="Garamond" w:hAnsi="Garamond" w:cs="Traditional Arabic"/>
          <w:lang w:bidi="ar-EG"/>
        </w:rPr>
        <w:t>Seren</w:t>
      </w:r>
      <w:proofErr w:type="spellEnd"/>
      <w:r w:rsidRPr="006133CA">
        <w:rPr>
          <w:rFonts w:ascii="Garamond" w:hAnsi="Garamond" w:cs="Traditional Arabic"/>
          <w:lang w:bidi="ar-EG"/>
        </w:rPr>
        <w:t xml:space="preserve"> </w:t>
      </w:r>
      <w:proofErr w:type="spellStart"/>
      <w:r w:rsidRPr="006133CA">
        <w:rPr>
          <w:rFonts w:ascii="Garamond" w:hAnsi="Garamond" w:cs="Traditional Arabic"/>
          <w:lang w:bidi="ar-EG"/>
        </w:rPr>
        <w:t>Taun</w:t>
      </w:r>
      <w:proofErr w:type="spellEnd"/>
      <w:r w:rsidRPr="006133CA">
        <w:rPr>
          <w:rFonts w:ascii="Garamond" w:hAnsi="Garamond" w:cs="Traditional Arabic"/>
          <w:lang w:bidi="ar-EG"/>
        </w:rPr>
        <w:t xml:space="preserve"> is part of social cooperation and solidarity, and is considered a form of “Living Hadith” by the Prophet </w:t>
      </w:r>
      <w:r w:rsidR="00F952FB">
        <w:rPr>
          <w:rFonts w:ascii="Traditional Arabic" w:hAnsi="Traditional Arabic" w:cs="Traditional Arabic"/>
          <w:rtl/>
          <w:lang w:bidi="ar-EG"/>
        </w:rPr>
        <w:t>ﷺ</w:t>
      </w:r>
      <w:r w:rsidR="00F952FB">
        <w:rPr>
          <w:rFonts w:ascii="Garamond" w:hAnsi="Garamond" w:cs="Traditional Arabic"/>
          <w:lang w:bidi="ar-EG"/>
        </w:rPr>
        <w:t xml:space="preserve">. </w:t>
      </w:r>
      <w:proofErr w:type="spellStart"/>
      <w:r w:rsidR="00F952FB">
        <w:rPr>
          <w:rFonts w:ascii="Garamond" w:hAnsi="Garamond" w:cs="Traditional Arabic"/>
          <w:lang w:bidi="ar-EG"/>
        </w:rPr>
        <w:t>Anas</w:t>
      </w:r>
      <w:proofErr w:type="spellEnd"/>
      <w:r w:rsidR="00F952FB">
        <w:rPr>
          <w:rFonts w:ascii="Garamond" w:hAnsi="Garamond" w:cs="Traditional Arabic"/>
          <w:lang w:bidi="ar-EG"/>
        </w:rPr>
        <w:t xml:space="preserve"> bin Malik </w:t>
      </w:r>
      <w:r w:rsidR="00F952FB" w:rsidRPr="00F952FB">
        <w:rPr>
          <w:rFonts w:ascii="Garamond" w:hAnsi="Garamond" w:cs="Traditional Arabic"/>
          <w:lang w:bidi="ar-EG"/>
        </w:rPr>
        <w:t>reported:</w:t>
      </w:r>
      <w:r w:rsidR="00F952FB">
        <w:rPr>
          <w:rFonts w:ascii="Garamond" w:hAnsi="Garamond" w:cs="Traditional Arabic"/>
          <w:lang w:bidi="ar-EG"/>
        </w:rPr>
        <w:t xml:space="preserve"> </w:t>
      </w:r>
      <w:r w:rsidR="00F952FB" w:rsidRPr="00F952FB">
        <w:rPr>
          <w:rFonts w:ascii="Garamond" w:hAnsi="Garamond" w:cs="Traditional Arabic"/>
          <w:lang w:bidi="ar-EG"/>
        </w:rPr>
        <w:t>Messenger of Allah</w:t>
      </w:r>
      <w:r w:rsidR="00F952FB">
        <w:rPr>
          <w:rFonts w:ascii="Garamond" w:hAnsi="Garamond" w:cs="Traditional Arabic"/>
          <w:lang w:bidi="ar-EG"/>
        </w:rPr>
        <w:t xml:space="preserve"> </w:t>
      </w:r>
      <w:r w:rsidR="00F952FB" w:rsidRPr="00F952FB">
        <w:rPr>
          <w:rFonts w:ascii="Garamond" w:hAnsi="Garamond" w:cs="Traditional Arabic"/>
          <w:lang w:bidi="ar-EG"/>
        </w:rPr>
        <w:t>said, "</w:t>
      </w:r>
      <w:r w:rsidR="00F952FB" w:rsidRPr="00F952FB">
        <w:rPr>
          <w:rFonts w:ascii="Garamond" w:hAnsi="Garamond" w:cs="Traditional Arabic"/>
          <w:i/>
          <w:iCs/>
          <w:lang w:bidi="ar-EG"/>
        </w:rPr>
        <w:t>He who desires ample provisions and his life be prolonged, should maintain good ties with his blood relations</w:t>
      </w:r>
      <w:r w:rsidR="00F952FB" w:rsidRPr="00F952FB">
        <w:rPr>
          <w:rFonts w:ascii="Garamond" w:hAnsi="Garamond" w:cs="Traditional Arabic"/>
          <w:lang w:bidi="ar-EG"/>
        </w:rPr>
        <w:t>".</w:t>
      </w:r>
      <w:r w:rsidR="00FB14E1" w:rsidRPr="008F1342">
        <w:rPr>
          <w:rStyle w:val="FootnoteReference"/>
          <w:rFonts w:ascii="Garamond" w:hAnsi="Garamond"/>
          <w:rtl/>
        </w:rPr>
        <w:footnoteReference w:id="74"/>
      </w:r>
      <w:r w:rsidR="00FB14E1" w:rsidRPr="008F1342">
        <w:rPr>
          <w:rFonts w:ascii="Garamond" w:hAnsi="Garamond" w:cs="Traditional Arabic"/>
          <w:lang w:bidi="ar-EG"/>
        </w:rPr>
        <w:t xml:space="preserve"> </w:t>
      </w:r>
    </w:p>
    <w:p w:rsidR="00FB14E1" w:rsidRPr="00AD5212" w:rsidRDefault="00AD5212" w:rsidP="0068386F">
      <w:pPr>
        <w:ind w:firstLine="720"/>
        <w:jc w:val="both"/>
        <w:rPr>
          <w:rFonts w:ascii="Garamond" w:hAnsi="Garamond" w:cs="Traditional Arabic"/>
          <w:lang w:bidi="ar-EG"/>
        </w:rPr>
      </w:pPr>
      <w:r w:rsidRPr="00AD5212">
        <w:rPr>
          <w:rFonts w:ascii="Garamond" w:hAnsi="Garamond" w:cs="Traditional Arabic"/>
          <w:lang w:bidi="ar-EG"/>
        </w:rPr>
        <w:t xml:space="preserve">As mentioned previously, this custom is a form of thanksgiving that is still practiced today in several places in West Java in the customs of the </w:t>
      </w:r>
      <w:proofErr w:type="spellStart"/>
      <w:r w:rsidRPr="00AD5212">
        <w:rPr>
          <w:rFonts w:ascii="Garamond" w:hAnsi="Garamond" w:cs="Traditional Arabic"/>
          <w:lang w:bidi="ar-EG"/>
        </w:rPr>
        <w:t>Sundanese</w:t>
      </w:r>
      <w:proofErr w:type="spellEnd"/>
      <w:r w:rsidRPr="00AD5212">
        <w:rPr>
          <w:rFonts w:ascii="Garamond" w:hAnsi="Garamond" w:cs="Traditional Arabic"/>
          <w:lang w:bidi="ar-EG"/>
        </w:rPr>
        <w:t xml:space="preserve"> tribe, but the custom is beginning to be abandoned due to the challenges of global modernization in this period</w:t>
      </w:r>
      <w:r w:rsidR="0068386F">
        <w:rPr>
          <w:rFonts w:ascii="Garamond" w:hAnsi="Garamond" w:cs="Traditional Arabic"/>
          <w:lang w:bidi="ar-EG"/>
        </w:rPr>
        <w:t>.</w:t>
      </w:r>
      <w:r w:rsidR="00FB14E1" w:rsidRPr="00AD5212">
        <w:rPr>
          <w:rStyle w:val="FootnoteReference"/>
          <w:rFonts w:ascii="Garamond" w:hAnsi="Garamond"/>
          <w:rtl/>
        </w:rPr>
        <w:footnoteReference w:id="75"/>
      </w:r>
      <w:r w:rsidR="00FB14E1" w:rsidRPr="00AD5212">
        <w:rPr>
          <w:rFonts w:ascii="Garamond" w:hAnsi="Garamond" w:cs="Traditional Arabic"/>
          <w:rtl/>
          <w:lang w:bidi="ar-EG"/>
        </w:rPr>
        <w:t xml:space="preserve"> </w:t>
      </w:r>
      <w:r w:rsidRPr="00AD5212">
        <w:rPr>
          <w:rFonts w:ascii="Garamond" w:hAnsi="Garamond" w:cs="Traditional Arabic"/>
          <w:lang w:bidi="ar-EG"/>
        </w:rPr>
        <w:t xml:space="preserve">However, it seems that this custom is not a culture derived from Islamic culture but rather influenced by the beliefs of the ancestors of the </w:t>
      </w:r>
      <w:proofErr w:type="spellStart"/>
      <w:r w:rsidRPr="00AD5212">
        <w:rPr>
          <w:rFonts w:ascii="Garamond" w:hAnsi="Garamond" w:cs="Traditional Arabic"/>
          <w:lang w:bidi="ar-EG"/>
        </w:rPr>
        <w:t>Sundanese</w:t>
      </w:r>
      <w:proofErr w:type="spellEnd"/>
      <w:r w:rsidRPr="00AD5212">
        <w:rPr>
          <w:rFonts w:ascii="Garamond" w:hAnsi="Garamond" w:cs="Traditional Arabic"/>
          <w:lang w:bidi="ar-EG"/>
        </w:rPr>
        <w:t xml:space="preserve"> tribe before the time of Islam. Therefore, there is an attempt to reconcile religion and ancient culture in a special tradition such as </w:t>
      </w:r>
      <w:proofErr w:type="spellStart"/>
      <w:r w:rsidRPr="0068386F">
        <w:rPr>
          <w:rFonts w:ascii="Garamond" w:hAnsi="Garamond" w:cs="Traditional Arabic"/>
          <w:i/>
          <w:iCs/>
          <w:lang w:bidi="ar-EG"/>
        </w:rPr>
        <w:t>S</w:t>
      </w:r>
      <w:r w:rsidR="0068386F">
        <w:rPr>
          <w:rFonts w:ascii="Garamond" w:hAnsi="Garamond" w:cs="Traditional Arabic"/>
          <w:i/>
          <w:iCs/>
          <w:lang w:bidi="ar-EG"/>
        </w:rPr>
        <w:t>ere</w:t>
      </w:r>
      <w:r w:rsidRPr="0068386F">
        <w:rPr>
          <w:rFonts w:ascii="Garamond" w:hAnsi="Garamond" w:cs="Traditional Arabic"/>
          <w:i/>
          <w:iCs/>
          <w:lang w:bidi="ar-EG"/>
        </w:rPr>
        <w:t>n</w:t>
      </w:r>
      <w:proofErr w:type="spellEnd"/>
      <w:r w:rsidRPr="0068386F">
        <w:rPr>
          <w:rFonts w:ascii="Garamond" w:hAnsi="Garamond" w:cs="Traditional Arabic"/>
          <w:i/>
          <w:iCs/>
          <w:lang w:bidi="ar-EG"/>
        </w:rPr>
        <w:t xml:space="preserve"> </w:t>
      </w:r>
      <w:proofErr w:type="spellStart"/>
      <w:r w:rsidRPr="0068386F">
        <w:rPr>
          <w:rFonts w:ascii="Garamond" w:hAnsi="Garamond" w:cs="Traditional Arabic"/>
          <w:i/>
          <w:iCs/>
          <w:lang w:bidi="ar-EG"/>
        </w:rPr>
        <w:t>Taun</w:t>
      </w:r>
      <w:proofErr w:type="spellEnd"/>
      <w:r w:rsidRPr="00AD5212">
        <w:rPr>
          <w:rFonts w:ascii="Garamond" w:hAnsi="Garamond" w:cs="Traditional Arabic"/>
          <w:rtl/>
          <w:lang w:bidi="ar-EG"/>
        </w:rPr>
        <w:t>.</w:t>
      </w:r>
    </w:p>
    <w:p w:rsidR="00FB14E1" w:rsidRDefault="00E95940" w:rsidP="00D40782">
      <w:pPr>
        <w:ind w:firstLine="720"/>
        <w:jc w:val="both"/>
        <w:rPr>
          <w:rFonts w:ascii="Garamond" w:hAnsi="Garamond" w:cs="Traditional Arabic"/>
          <w:lang w:bidi="ar-EG"/>
        </w:rPr>
      </w:pPr>
      <w:r w:rsidRPr="00E95940">
        <w:rPr>
          <w:rFonts w:ascii="Garamond" w:hAnsi="Garamond" w:cs="Traditional Arabic"/>
          <w:lang w:bidi="ar-EG"/>
        </w:rPr>
        <w:t xml:space="preserve">This tradition is also by the Hadith of the Prophet Muhammad: From </w:t>
      </w:r>
      <w:proofErr w:type="spellStart"/>
      <w:r w:rsidRPr="00E95940">
        <w:rPr>
          <w:rFonts w:ascii="Garamond" w:hAnsi="Garamond" w:cs="Traditional Arabic"/>
          <w:lang w:bidi="ar-EG"/>
        </w:rPr>
        <w:t>Jarir</w:t>
      </w:r>
      <w:proofErr w:type="spellEnd"/>
      <w:r w:rsidRPr="00E95940">
        <w:rPr>
          <w:rFonts w:ascii="Garamond" w:hAnsi="Garamond" w:cs="Traditional Arabic"/>
          <w:lang w:bidi="ar-EG"/>
        </w:rPr>
        <w:t xml:space="preserve"> </w:t>
      </w:r>
      <w:proofErr w:type="spellStart"/>
      <w:r w:rsidRPr="00E95940">
        <w:rPr>
          <w:rFonts w:ascii="Garamond" w:hAnsi="Garamond" w:cs="Traditional Arabic"/>
          <w:lang w:bidi="ar-EG"/>
        </w:rPr>
        <w:t>ibn</w:t>
      </w:r>
      <w:proofErr w:type="spellEnd"/>
      <w:r w:rsidRPr="00E95940">
        <w:rPr>
          <w:rFonts w:ascii="Garamond" w:hAnsi="Garamond" w:cs="Traditional Arabic"/>
          <w:lang w:bidi="ar-EG"/>
        </w:rPr>
        <w:t xml:space="preserve"> Abdullah, he said: The Prophet (peace be upon him) saw that they were in poor condition and were in need, so he urged people to give charity, but they were so slow that it was visible in his face. He said: “Then a man from the </w:t>
      </w:r>
      <w:proofErr w:type="spellStart"/>
      <w:r w:rsidRPr="00E95940">
        <w:rPr>
          <w:rFonts w:ascii="Garamond" w:hAnsi="Garamond" w:cs="Traditional Arabic"/>
          <w:lang w:bidi="ar-EG"/>
        </w:rPr>
        <w:t>Ansar</w:t>
      </w:r>
      <w:proofErr w:type="spellEnd"/>
      <w:r w:rsidRPr="00E95940">
        <w:rPr>
          <w:rFonts w:ascii="Garamond" w:hAnsi="Garamond" w:cs="Traditional Arabic"/>
          <w:lang w:bidi="ar-EG"/>
        </w:rPr>
        <w:t xml:space="preserve"> came with a bundle of paper, then another came, then another, then they followed, until he could see the pleasure in his face.” The Messenger of Allah, may Allah bless him and grant him peace, said: “Whoever enacts a good deed in Islam and follows it after him, his reward is the same as the reward of those who did it, and nothing is diminished from their reward, and whoever enacts an evil deed in Islam and follows it after him, his burden is the same as the burden of those who did it, and nothing is diminished from their burden</w:t>
      </w:r>
      <w:r>
        <w:rPr>
          <w:rFonts w:ascii="Garamond" w:hAnsi="Garamond" w:cs="Traditional Arabic"/>
          <w:lang w:bidi="ar-EG"/>
        </w:rPr>
        <w:t>.</w:t>
      </w:r>
      <w:r w:rsidR="00FB14E1" w:rsidRPr="00E95940">
        <w:rPr>
          <w:rStyle w:val="FootnoteReference"/>
          <w:rFonts w:ascii="Garamond" w:hAnsi="Garamond"/>
          <w:rtl/>
        </w:rPr>
        <w:footnoteReference w:id="76"/>
      </w:r>
      <w:bookmarkStart w:id="9" w:name="_Toc190122164"/>
      <w:bookmarkStart w:id="10" w:name="_Toc190151710"/>
    </w:p>
    <w:p w:rsidR="00D40782" w:rsidRPr="00D40782" w:rsidRDefault="00D40782" w:rsidP="008F1342">
      <w:pPr>
        <w:jc w:val="both"/>
        <w:rPr>
          <w:rFonts w:ascii="Garamond" w:hAnsi="Garamond" w:cs="Traditional Arabic"/>
          <w:lang w:bidi="ar-EG"/>
        </w:rPr>
      </w:pPr>
    </w:p>
    <w:bookmarkEnd w:id="9"/>
    <w:bookmarkEnd w:id="10"/>
    <w:p w:rsidR="00FB14E1" w:rsidRPr="00424452" w:rsidRDefault="00424452" w:rsidP="00424452">
      <w:pPr>
        <w:jc w:val="both"/>
        <w:rPr>
          <w:rFonts w:ascii="Garamond" w:hAnsi="Garamond" w:cs="Traditional Arabic"/>
          <w:rtl/>
          <w:lang w:bidi="ar-EG"/>
        </w:rPr>
      </w:pPr>
      <w:r w:rsidRPr="00424452">
        <w:rPr>
          <w:rFonts w:ascii="Garamond" w:hAnsi="Garamond" w:cs="Traditional Arabic"/>
          <w:b/>
          <w:bCs/>
          <w:lang w:bidi="ar-EG"/>
        </w:rPr>
        <w:t xml:space="preserve">A Critique </w:t>
      </w:r>
      <w:r>
        <w:rPr>
          <w:rFonts w:ascii="Garamond" w:hAnsi="Garamond" w:cs="Traditional Arabic"/>
          <w:b/>
          <w:bCs/>
          <w:lang w:bidi="ar-EG"/>
        </w:rPr>
        <w:t>o</w:t>
      </w:r>
      <w:r w:rsidRPr="00424452">
        <w:rPr>
          <w:rFonts w:ascii="Garamond" w:hAnsi="Garamond" w:cs="Traditional Arabic"/>
          <w:b/>
          <w:bCs/>
          <w:lang w:bidi="ar-EG"/>
        </w:rPr>
        <w:t xml:space="preserve">f </w:t>
      </w:r>
      <w:r>
        <w:rPr>
          <w:rFonts w:ascii="Garamond" w:hAnsi="Garamond" w:cs="Traditional Arabic"/>
          <w:b/>
          <w:bCs/>
          <w:lang w:bidi="ar-EG"/>
        </w:rPr>
        <w:t>t</w:t>
      </w:r>
      <w:r w:rsidRPr="00424452">
        <w:rPr>
          <w:rFonts w:ascii="Garamond" w:hAnsi="Garamond" w:cs="Traditional Arabic"/>
          <w:b/>
          <w:bCs/>
          <w:lang w:bidi="ar-EG"/>
        </w:rPr>
        <w:t xml:space="preserve">he Living Hadith Perspective </w:t>
      </w:r>
      <w:r>
        <w:rPr>
          <w:rFonts w:ascii="Garamond" w:hAnsi="Garamond" w:cs="Traditional Arabic"/>
          <w:b/>
          <w:bCs/>
          <w:lang w:bidi="ar-EG"/>
        </w:rPr>
        <w:t>o</w:t>
      </w:r>
      <w:r w:rsidRPr="00424452">
        <w:rPr>
          <w:rFonts w:ascii="Garamond" w:hAnsi="Garamond" w:cs="Traditional Arabic"/>
          <w:b/>
          <w:bCs/>
          <w:lang w:bidi="ar-EG"/>
        </w:rPr>
        <w:t xml:space="preserve">n Understanding </w:t>
      </w:r>
      <w:r>
        <w:rPr>
          <w:rFonts w:ascii="Garamond" w:hAnsi="Garamond" w:cs="Traditional Arabic"/>
          <w:b/>
          <w:bCs/>
          <w:lang w:bidi="ar-EG"/>
        </w:rPr>
        <w:t>o</w:t>
      </w:r>
      <w:r w:rsidRPr="00424452">
        <w:rPr>
          <w:rFonts w:ascii="Garamond" w:hAnsi="Garamond" w:cs="Traditional Arabic"/>
          <w:b/>
          <w:bCs/>
          <w:lang w:bidi="ar-EG"/>
        </w:rPr>
        <w:t xml:space="preserve">f Hadith </w:t>
      </w:r>
      <w:r>
        <w:rPr>
          <w:rFonts w:ascii="Garamond" w:hAnsi="Garamond" w:cs="Traditional Arabic"/>
          <w:b/>
          <w:bCs/>
          <w:lang w:bidi="ar-EG"/>
        </w:rPr>
        <w:t>i</w:t>
      </w:r>
      <w:r w:rsidRPr="00424452">
        <w:rPr>
          <w:rFonts w:ascii="Garamond" w:hAnsi="Garamond" w:cs="Traditional Arabic"/>
          <w:b/>
          <w:bCs/>
          <w:lang w:bidi="ar-EG"/>
        </w:rPr>
        <w:t>n Indonesia</w:t>
      </w:r>
    </w:p>
    <w:p w:rsidR="00FB14E1" w:rsidRPr="001B0F6B" w:rsidRDefault="001B0F6B" w:rsidP="005C31FD">
      <w:pPr>
        <w:ind w:firstLine="686"/>
        <w:jc w:val="both"/>
        <w:rPr>
          <w:rFonts w:ascii="Garamond" w:hAnsi="Garamond" w:cs="Traditional Arabic"/>
          <w:rtl/>
          <w:lang w:bidi="ar-EG"/>
        </w:rPr>
      </w:pPr>
      <w:r w:rsidRPr="001B0F6B">
        <w:rPr>
          <w:rFonts w:ascii="Garamond" w:hAnsi="Garamond" w:cs="Traditional Arabic"/>
          <w:lang w:bidi="ar-EG"/>
        </w:rPr>
        <w:t xml:space="preserve">According to some of the previous examples, the practices that occur in society and have been introduced among them are looking for their legitimacy in the face of the Prophetic Hadith. Therefore, from the beginning of the researcher's talk about "Living Hadith," it is not the revival of the Hadith, but rather a practice known in society, or customs developed in society, or actions considered by them to be legitimate. Its basis needs to be addressed in order to find its truth in the </w:t>
      </w:r>
      <w:proofErr w:type="spellStart"/>
      <w:r w:rsidRPr="00131775">
        <w:rPr>
          <w:rFonts w:ascii="Garamond" w:hAnsi="Garamond" w:cs="Traditional Arabic"/>
          <w:i/>
          <w:iCs/>
          <w:lang w:bidi="ar-EG"/>
        </w:rPr>
        <w:t>Shari'ah</w:t>
      </w:r>
      <w:proofErr w:type="spellEnd"/>
      <w:r w:rsidRPr="001B0F6B">
        <w:rPr>
          <w:rFonts w:ascii="Garamond" w:hAnsi="Garamond" w:cs="Traditional Arabic"/>
          <w:lang w:bidi="ar-EG"/>
        </w:rPr>
        <w:t xml:space="preserve">. The author does not mean that customs are incompatible with Islamic law, but what he criticizes is the confusion between tradition and religion, which is fabricated. The author must remember that the religions practiced by the people before Islam entered the archipelago, especially Indonesia, were Hinduism, Buddhism, and some of them were Animism and Dynamism, and it is possible </w:t>
      </w:r>
      <w:r w:rsidRPr="001B0F6B">
        <w:rPr>
          <w:rFonts w:ascii="Garamond" w:hAnsi="Garamond" w:cs="Traditional Arabic"/>
          <w:lang w:bidi="ar-EG"/>
        </w:rPr>
        <w:lastRenderedPageBreak/>
        <w:t xml:space="preserve">that the customs of the ancestors of the Indonesian people still influence their children and grandchildren who have already become Muslims, thus there is a mixing of cultures with religion. As the author mentioned as an example in the previous discussion, there is a dance in prayers, which has existed since the Javanese Kingdom, especially in </w:t>
      </w:r>
      <w:proofErr w:type="spellStart"/>
      <w:r w:rsidRPr="001B0F6B">
        <w:rPr>
          <w:rFonts w:ascii="Garamond" w:hAnsi="Garamond" w:cs="Traditional Arabic"/>
          <w:lang w:bidi="ar-EG"/>
        </w:rPr>
        <w:t>Keraton</w:t>
      </w:r>
      <w:proofErr w:type="spellEnd"/>
      <w:r w:rsidRPr="001B0F6B">
        <w:rPr>
          <w:rFonts w:ascii="Garamond" w:hAnsi="Garamond" w:cs="Traditional Arabic"/>
          <w:lang w:bidi="ar-EG"/>
        </w:rPr>
        <w:t xml:space="preserve"> Jogjakarta</w:t>
      </w:r>
      <w:r w:rsidR="00FB14E1" w:rsidRPr="001B0F6B">
        <w:rPr>
          <w:rFonts w:ascii="Garamond" w:hAnsi="Garamond" w:cs="Traditional Arabic"/>
          <w:rtl/>
          <w:lang w:bidi="ar-EG"/>
        </w:rPr>
        <w:t>.</w:t>
      </w:r>
    </w:p>
    <w:p w:rsidR="00FB14E1" w:rsidRPr="006F2AAA" w:rsidRDefault="00AD6D4D" w:rsidP="006F2AAA">
      <w:pPr>
        <w:ind w:firstLine="686"/>
        <w:jc w:val="both"/>
        <w:rPr>
          <w:rFonts w:ascii="Garamond" w:hAnsi="Garamond" w:cs="Traditional Arabic"/>
          <w:lang w:bidi="ar-EG"/>
        </w:rPr>
      </w:pPr>
      <w:r w:rsidRPr="006F2AAA">
        <w:rPr>
          <w:rFonts w:ascii="Garamond" w:hAnsi="Garamond" w:cs="Traditional Arabic"/>
          <w:lang w:bidi="ar-EG"/>
        </w:rPr>
        <w:t xml:space="preserve">As </w:t>
      </w:r>
      <w:proofErr w:type="spellStart"/>
      <w:r w:rsidRPr="006F2AAA">
        <w:rPr>
          <w:rFonts w:ascii="Garamond" w:hAnsi="Garamond" w:cs="Traditional Arabic"/>
          <w:lang w:bidi="ar-EG"/>
        </w:rPr>
        <w:t>Hamka</w:t>
      </w:r>
      <w:proofErr w:type="spellEnd"/>
      <w:r w:rsidRPr="006F2AAA">
        <w:rPr>
          <w:rFonts w:ascii="Garamond" w:hAnsi="Garamond" w:cs="Traditional Arabic"/>
          <w:lang w:bidi="ar-EG"/>
        </w:rPr>
        <w:t xml:space="preserve"> mentioned in his book </w:t>
      </w:r>
      <w:proofErr w:type="spellStart"/>
      <w:r w:rsidRPr="006F2AAA">
        <w:rPr>
          <w:rFonts w:ascii="Garamond" w:hAnsi="Garamond" w:cs="Traditional Arabic"/>
          <w:i/>
          <w:iCs/>
          <w:lang w:bidi="ar-EG"/>
        </w:rPr>
        <w:t>Perkembangan</w:t>
      </w:r>
      <w:proofErr w:type="spellEnd"/>
      <w:r w:rsidRPr="006F2AAA">
        <w:rPr>
          <w:rFonts w:ascii="Garamond" w:hAnsi="Garamond" w:cs="Traditional Arabic"/>
          <w:i/>
          <w:iCs/>
          <w:lang w:bidi="ar-EG"/>
        </w:rPr>
        <w:t xml:space="preserve"> </w:t>
      </w:r>
      <w:proofErr w:type="spellStart"/>
      <w:r w:rsidRPr="006F2AAA">
        <w:rPr>
          <w:rFonts w:ascii="Garamond" w:hAnsi="Garamond" w:cs="Traditional Arabic"/>
          <w:i/>
          <w:iCs/>
          <w:lang w:bidi="ar-EG"/>
        </w:rPr>
        <w:t>Kebatinan</w:t>
      </w:r>
      <w:proofErr w:type="spellEnd"/>
      <w:r w:rsidRPr="006F2AAA">
        <w:rPr>
          <w:rFonts w:ascii="Garamond" w:hAnsi="Garamond" w:cs="Traditional Arabic"/>
          <w:i/>
          <w:iCs/>
          <w:lang w:bidi="ar-EG"/>
        </w:rPr>
        <w:t xml:space="preserve"> di Indonesia</w:t>
      </w:r>
      <w:r w:rsidRPr="006F2AAA">
        <w:rPr>
          <w:rFonts w:ascii="Garamond" w:hAnsi="Garamond" w:cs="Traditional Arabic"/>
          <w:lang w:bidi="ar-EG"/>
        </w:rPr>
        <w:t xml:space="preserve"> (The Development of </w:t>
      </w:r>
      <w:r w:rsidR="006F2AAA" w:rsidRPr="006F2AAA">
        <w:rPr>
          <w:rFonts w:ascii="Garamond" w:hAnsi="Garamond" w:cs="Traditional Arabic"/>
          <w:lang w:bidi="ar-EG"/>
        </w:rPr>
        <w:t>Mysticism</w:t>
      </w:r>
      <w:r w:rsidRPr="006F2AAA">
        <w:rPr>
          <w:rFonts w:ascii="Garamond" w:hAnsi="Garamond" w:cs="Traditional Arabic"/>
          <w:lang w:bidi="ar-EG"/>
        </w:rPr>
        <w:t xml:space="preserve"> in Indonesia), the development of Islam in Indonesia was peaceful and not through conquest, giving the impression of normalizing the existing culture in Indonesia, where some Islamic concepts were influenced by ancient culture. For example, the words </w:t>
      </w:r>
      <w:proofErr w:type="spellStart"/>
      <w:r w:rsidRPr="006F2AAA">
        <w:rPr>
          <w:rFonts w:ascii="Garamond" w:hAnsi="Garamond" w:cs="Traditional Arabic"/>
          <w:i/>
          <w:iCs/>
          <w:lang w:bidi="ar-EG"/>
        </w:rPr>
        <w:t>Tuhan</w:t>
      </w:r>
      <w:proofErr w:type="spellEnd"/>
      <w:r w:rsidRPr="006F2AAA">
        <w:rPr>
          <w:rFonts w:ascii="Garamond" w:hAnsi="Garamond" w:cs="Traditional Arabic"/>
          <w:lang w:bidi="ar-EG"/>
        </w:rPr>
        <w:t xml:space="preserve">, </w:t>
      </w:r>
      <w:proofErr w:type="spellStart"/>
      <w:r w:rsidRPr="006F2AAA">
        <w:rPr>
          <w:rFonts w:ascii="Garamond" w:hAnsi="Garamond" w:cs="Traditional Arabic"/>
          <w:i/>
          <w:iCs/>
          <w:lang w:bidi="ar-EG"/>
        </w:rPr>
        <w:t>Dewa</w:t>
      </w:r>
      <w:proofErr w:type="spellEnd"/>
      <w:r w:rsidRPr="006F2AAA">
        <w:rPr>
          <w:rFonts w:ascii="Garamond" w:hAnsi="Garamond" w:cs="Traditional Arabic"/>
          <w:lang w:bidi="ar-EG"/>
        </w:rPr>
        <w:t xml:space="preserve">, and </w:t>
      </w:r>
      <w:proofErr w:type="spellStart"/>
      <w:r w:rsidRPr="006F2AAA">
        <w:rPr>
          <w:rFonts w:ascii="Garamond" w:hAnsi="Garamond" w:cs="Traditional Arabic"/>
          <w:i/>
          <w:iCs/>
          <w:lang w:bidi="ar-EG"/>
        </w:rPr>
        <w:t>Hyang</w:t>
      </w:r>
      <w:proofErr w:type="spellEnd"/>
      <w:r w:rsidRPr="006F2AAA">
        <w:rPr>
          <w:rFonts w:ascii="Garamond" w:hAnsi="Garamond" w:cs="Traditional Arabic"/>
          <w:lang w:bidi="ar-EG"/>
        </w:rPr>
        <w:t>, before Islam came, meant something powerful. The word “</w:t>
      </w:r>
      <w:proofErr w:type="spellStart"/>
      <w:r w:rsidRPr="006F2AAA">
        <w:rPr>
          <w:rFonts w:ascii="Garamond" w:hAnsi="Garamond" w:cs="Traditional Arabic"/>
          <w:i/>
          <w:iCs/>
          <w:lang w:bidi="ar-EG"/>
        </w:rPr>
        <w:t>Tuhan</w:t>
      </w:r>
      <w:proofErr w:type="spellEnd"/>
      <w:r w:rsidRPr="006F2AAA">
        <w:rPr>
          <w:rFonts w:ascii="Garamond" w:hAnsi="Garamond" w:cs="Traditional Arabic"/>
          <w:lang w:bidi="ar-EG"/>
        </w:rPr>
        <w:t xml:space="preserve">” in the history of the </w:t>
      </w:r>
      <w:proofErr w:type="spellStart"/>
      <w:r w:rsidRPr="006F2AAA">
        <w:rPr>
          <w:rFonts w:ascii="Garamond" w:hAnsi="Garamond" w:cs="Traditional Arabic"/>
          <w:lang w:bidi="ar-EG"/>
        </w:rPr>
        <w:t>Dharmasraya</w:t>
      </w:r>
      <w:proofErr w:type="spellEnd"/>
      <w:r w:rsidRPr="006F2AAA">
        <w:rPr>
          <w:rFonts w:ascii="Garamond" w:hAnsi="Garamond" w:cs="Traditional Arabic"/>
          <w:lang w:bidi="ar-EG"/>
        </w:rPr>
        <w:t xml:space="preserve"> Jambi kingdom in the history of the old sultanate</w:t>
      </w:r>
      <w:r w:rsidR="006F2AAA">
        <w:rPr>
          <w:rFonts w:ascii="Garamond" w:hAnsi="Garamond" w:cs="Traditional Arabic"/>
          <w:lang w:bidi="ar-EG"/>
        </w:rPr>
        <w:t>,</w:t>
      </w:r>
      <w:r w:rsidR="00FB14E1" w:rsidRPr="006F2AAA">
        <w:rPr>
          <w:rStyle w:val="FootnoteReference"/>
          <w:rFonts w:ascii="Garamond" w:hAnsi="Garamond"/>
          <w:rtl/>
        </w:rPr>
        <w:footnoteReference w:id="77"/>
      </w:r>
      <w:r w:rsidR="006F2AAA">
        <w:rPr>
          <w:rFonts w:ascii="Garamond" w:hAnsi="Garamond" w:cs="Traditional Arabic"/>
          <w:lang w:bidi="ar-EG"/>
        </w:rPr>
        <w:t xml:space="preserve"> </w:t>
      </w:r>
      <w:proofErr w:type="gramStart"/>
      <w:r w:rsidR="006F2AAA" w:rsidRPr="006F2AAA">
        <w:rPr>
          <w:rFonts w:ascii="Garamond" w:hAnsi="Garamond" w:cs="Traditional Arabic"/>
          <w:lang w:bidi="ar-EG"/>
        </w:rPr>
        <w:t>There</w:t>
      </w:r>
      <w:proofErr w:type="gramEnd"/>
      <w:r w:rsidR="006F2AAA" w:rsidRPr="006F2AAA">
        <w:rPr>
          <w:rFonts w:ascii="Garamond" w:hAnsi="Garamond" w:cs="Traditional Arabic"/>
          <w:lang w:bidi="ar-EG"/>
        </w:rPr>
        <w:t xml:space="preserve"> was a minister named </w:t>
      </w:r>
      <w:proofErr w:type="spellStart"/>
      <w:r w:rsidR="006F2AAA" w:rsidRPr="006F2AAA">
        <w:rPr>
          <w:rFonts w:ascii="Garamond" w:hAnsi="Garamond" w:cs="Traditional Arabic"/>
          <w:lang w:bidi="ar-EG"/>
        </w:rPr>
        <w:t>Dewa-Tuhan</w:t>
      </w:r>
      <w:proofErr w:type="spellEnd"/>
      <w:r w:rsidR="006F2AAA" w:rsidRPr="006F2AAA">
        <w:rPr>
          <w:rFonts w:ascii="Garamond" w:hAnsi="Garamond" w:cs="Traditional Arabic"/>
          <w:lang w:bidi="ar-EG"/>
        </w:rPr>
        <w:t xml:space="preserve">, and this same name is given to </w:t>
      </w:r>
      <w:proofErr w:type="spellStart"/>
      <w:r w:rsidR="006F2AAA" w:rsidRPr="006F2AAA">
        <w:rPr>
          <w:rFonts w:ascii="Garamond" w:hAnsi="Garamond" w:cs="Traditional Arabic"/>
          <w:lang w:bidi="ar-EG"/>
        </w:rPr>
        <w:t>Datuk</w:t>
      </w:r>
      <w:proofErr w:type="spellEnd"/>
      <w:r w:rsidR="006F2AAA" w:rsidRPr="006F2AAA">
        <w:rPr>
          <w:rFonts w:ascii="Garamond" w:hAnsi="Garamond" w:cs="Traditional Arabic"/>
          <w:lang w:bidi="ar-EG"/>
        </w:rPr>
        <w:t xml:space="preserve"> </w:t>
      </w:r>
      <w:proofErr w:type="spellStart"/>
      <w:r w:rsidR="006F2AAA" w:rsidRPr="006F2AAA">
        <w:rPr>
          <w:rFonts w:ascii="Garamond" w:hAnsi="Garamond" w:cs="Traditional Arabic"/>
          <w:lang w:bidi="ar-EG"/>
        </w:rPr>
        <w:t>Perpatih</w:t>
      </w:r>
      <w:proofErr w:type="spellEnd"/>
      <w:r w:rsidR="006F2AAA" w:rsidRPr="006F2AAA">
        <w:rPr>
          <w:rFonts w:ascii="Garamond" w:hAnsi="Garamond" w:cs="Traditional Arabic"/>
          <w:lang w:bidi="ar-EG"/>
        </w:rPr>
        <w:t xml:space="preserve"> Nan </w:t>
      </w:r>
      <w:proofErr w:type="spellStart"/>
      <w:r w:rsidR="006F2AAA" w:rsidRPr="006F2AAA">
        <w:rPr>
          <w:rFonts w:ascii="Garamond" w:hAnsi="Garamond" w:cs="Traditional Arabic"/>
          <w:lang w:bidi="ar-EG"/>
        </w:rPr>
        <w:t>Sebatang</w:t>
      </w:r>
      <w:proofErr w:type="spellEnd"/>
      <w:r w:rsidR="006F2AAA" w:rsidRPr="006F2AAA">
        <w:rPr>
          <w:rFonts w:ascii="Garamond" w:hAnsi="Garamond" w:cs="Traditional Arabic"/>
          <w:lang w:bidi="ar-EG"/>
        </w:rPr>
        <w:t xml:space="preserve">, the founder of the Budi </w:t>
      </w:r>
      <w:proofErr w:type="spellStart"/>
      <w:r w:rsidR="006F2AAA" w:rsidRPr="006F2AAA">
        <w:rPr>
          <w:rFonts w:ascii="Garamond" w:hAnsi="Garamond" w:cs="Traditional Arabic"/>
          <w:lang w:bidi="ar-EG"/>
        </w:rPr>
        <w:t>Canioago</w:t>
      </w:r>
      <w:proofErr w:type="spellEnd"/>
      <w:r w:rsidR="006F2AAA" w:rsidRPr="006F2AAA">
        <w:rPr>
          <w:rFonts w:ascii="Garamond" w:hAnsi="Garamond" w:cs="Traditional Arabic"/>
          <w:lang w:bidi="ar-EG"/>
        </w:rPr>
        <w:t xml:space="preserve"> system of law in </w:t>
      </w:r>
      <w:proofErr w:type="spellStart"/>
      <w:r w:rsidR="006F2AAA" w:rsidRPr="006F2AAA">
        <w:rPr>
          <w:rFonts w:ascii="Garamond" w:hAnsi="Garamond" w:cs="Traditional Arabic"/>
          <w:lang w:bidi="ar-EG"/>
        </w:rPr>
        <w:t>Minangkabau</w:t>
      </w:r>
      <w:proofErr w:type="spellEnd"/>
      <w:r w:rsidR="006F2AAA" w:rsidRPr="006F2AAA">
        <w:rPr>
          <w:rFonts w:ascii="Garamond" w:hAnsi="Garamond" w:cs="Traditional Arabic"/>
          <w:lang w:bidi="ar-EG"/>
        </w:rPr>
        <w:t>, West Sumatra</w:t>
      </w:r>
      <w:r w:rsidR="006F2AAA">
        <w:rPr>
          <w:rFonts w:ascii="Garamond" w:hAnsi="Garamond" w:cs="Traditional Arabic"/>
          <w:lang w:bidi="ar-EG"/>
        </w:rPr>
        <w:t>.</w:t>
      </w:r>
      <w:r w:rsidR="00FB14E1" w:rsidRPr="006F2AAA">
        <w:rPr>
          <w:rStyle w:val="FootnoteReference"/>
          <w:rFonts w:ascii="Garamond" w:hAnsi="Garamond"/>
          <w:rtl/>
        </w:rPr>
        <w:footnoteReference w:id="78"/>
      </w:r>
      <w:r w:rsidR="00FB14E1" w:rsidRPr="006F2AAA">
        <w:rPr>
          <w:rFonts w:ascii="Garamond" w:hAnsi="Garamond" w:cs="Traditional Arabic"/>
          <w:rtl/>
          <w:lang w:bidi="ar-EG"/>
        </w:rPr>
        <w:t xml:space="preserve"> </w:t>
      </w:r>
      <w:r w:rsidR="006F2AAA" w:rsidRPr="006F2AAA">
        <w:rPr>
          <w:rFonts w:ascii="Garamond" w:hAnsi="Garamond" w:cs="Traditional Arabic"/>
          <w:lang w:bidi="ar-EG"/>
        </w:rPr>
        <w:t>However, after the coming of Islam, the word “</w:t>
      </w:r>
      <w:proofErr w:type="spellStart"/>
      <w:r w:rsidR="006F2AAA" w:rsidRPr="006F2AAA">
        <w:rPr>
          <w:rFonts w:ascii="Garamond" w:hAnsi="Garamond" w:cs="Traditional Arabic"/>
          <w:i/>
          <w:iCs/>
          <w:lang w:bidi="ar-EG"/>
        </w:rPr>
        <w:t>Tuhan</w:t>
      </w:r>
      <w:proofErr w:type="spellEnd"/>
      <w:r w:rsidR="006F2AAA" w:rsidRPr="006F2AAA">
        <w:rPr>
          <w:rFonts w:ascii="Garamond" w:hAnsi="Garamond" w:cs="Traditional Arabic"/>
          <w:lang w:bidi="ar-EG"/>
        </w:rPr>
        <w:t>” was given a meaning understood by Muslims as God, the name of the God in Islam</w:t>
      </w:r>
      <w:r w:rsidR="00FB14E1" w:rsidRPr="006F2AAA">
        <w:rPr>
          <w:rFonts w:ascii="Garamond" w:hAnsi="Garamond" w:cs="Traditional Arabic"/>
          <w:rtl/>
          <w:lang w:bidi="ar-EG"/>
        </w:rPr>
        <w:t>.</w:t>
      </w:r>
      <w:r w:rsidR="00FB14E1" w:rsidRPr="006F2AAA">
        <w:rPr>
          <w:rStyle w:val="FootnoteReference"/>
          <w:rFonts w:ascii="Garamond" w:hAnsi="Garamond"/>
          <w:rtl/>
        </w:rPr>
        <w:footnoteReference w:id="79"/>
      </w:r>
      <w:r w:rsidR="00FB14E1" w:rsidRPr="006F2AAA">
        <w:rPr>
          <w:rFonts w:ascii="Garamond" w:hAnsi="Garamond" w:cs="Traditional Arabic"/>
          <w:rtl/>
          <w:lang w:bidi="ar-EG"/>
        </w:rPr>
        <w:t xml:space="preserve"> </w:t>
      </w:r>
      <w:r w:rsidR="006F2AAA" w:rsidRPr="006F2AAA">
        <w:rPr>
          <w:rFonts w:ascii="Garamond" w:hAnsi="Garamond" w:cs="Traditional Arabic"/>
          <w:lang w:bidi="ar-EG"/>
        </w:rPr>
        <w:t xml:space="preserve">Occasionally, the word Allah is also written as </w:t>
      </w:r>
      <w:proofErr w:type="spellStart"/>
      <w:r w:rsidR="006F2AAA" w:rsidRPr="006F2AAA">
        <w:rPr>
          <w:rFonts w:ascii="Garamond" w:hAnsi="Garamond" w:cs="Traditional Arabic"/>
          <w:lang w:bidi="ar-EG"/>
        </w:rPr>
        <w:t>Dewata</w:t>
      </w:r>
      <w:proofErr w:type="spellEnd"/>
      <w:r w:rsidR="006F2AAA" w:rsidRPr="006F2AAA">
        <w:rPr>
          <w:rFonts w:ascii="Garamond" w:hAnsi="Garamond" w:cs="Traditional Arabic"/>
          <w:lang w:bidi="ar-EG"/>
        </w:rPr>
        <w:t xml:space="preserve"> </w:t>
      </w:r>
      <w:proofErr w:type="spellStart"/>
      <w:r w:rsidR="006F2AAA" w:rsidRPr="006F2AAA">
        <w:rPr>
          <w:rFonts w:ascii="Garamond" w:hAnsi="Garamond" w:cs="Traditional Arabic"/>
          <w:lang w:bidi="ar-EG"/>
        </w:rPr>
        <w:t>Mulyaraya</w:t>
      </w:r>
      <w:proofErr w:type="spellEnd"/>
      <w:r w:rsidR="006F2AAA" w:rsidRPr="006F2AAA">
        <w:rPr>
          <w:rFonts w:ascii="Garamond" w:hAnsi="Garamond" w:cs="Traditional Arabic"/>
          <w:lang w:bidi="ar-EG"/>
        </w:rPr>
        <w:t xml:space="preserve">, and it is understood that the word </w:t>
      </w:r>
      <w:proofErr w:type="spellStart"/>
      <w:r w:rsidR="006F2AAA" w:rsidRPr="006F2AAA">
        <w:rPr>
          <w:rFonts w:ascii="Garamond" w:hAnsi="Garamond" w:cs="Traditional Arabic"/>
          <w:i/>
          <w:iCs/>
          <w:lang w:bidi="ar-EG"/>
        </w:rPr>
        <w:t>Dewa</w:t>
      </w:r>
      <w:proofErr w:type="spellEnd"/>
      <w:r w:rsidR="006F2AAA" w:rsidRPr="006F2AAA">
        <w:rPr>
          <w:rFonts w:ascii="Garamond" w:hAnsi="Garamond" w:cs="Traditional Arabic"/>
          <w:lang w:bidi="ar-EG"/>
        </w:rPr>
        <w:t xml:space="preserve"> was used in the past to mean Allah</w:t>
      </w:r>
      <w:r w:rsidR="006F2AAA">
        <w:rPr>
          <w:rFonts w:ascii="Garamond" w:hAnsi="Garamond" w:cs="Traditional Arabic"/>
          <w:lang w:bidi="ar-EG"/>
        </w:rPr>
        <w:t>.</w:t>
      </w:r>
      <w:r w:rsidR="00FB14E1" w:rsidRPr="006F2AAA">
        <w:rPr>
          <w:rStyle w:val="FootnoteReference"/>
          <w:rFonts w:ascii="Garamond" w:hAnsi="Garamond"/>
          <w:rtl/>
        </w:rPr>
        <w:footnoteReference w:id="80"/>
      </w:r>
    </w:p>
    <w:p w:rsidR="00FB14E1" w:rsidRPr="004D2E24" w:rsidRDefault="004D2E24" w:rsidP="004D2E24">
      <w:pPr>
        <w:ind w:firstLine="686"/>
        <w:jc w:val="both"/>
        <w:rPr>
          <w:rFonts w:ascii="Garamond" w:hAnsi="Garamond" w:cs="Traditional Arabic"/>
          <w:rtl/>
          <w:lang w:bidi="ar-EG"/>
        </w:rPr>
      </w:pPr>
      <w:r w:rsidRPr="004D2E24">
        <w:rPr>
          <w:rFonts w:ascii="Garamond" w:hAnsi="Garamond" w:cs="Traditional Arabic"/>
          <w:lang w:bidi="ar-EG"/>
        </w:rPr>
        <w:t>The word “</w:t>
      </w:r>
      <w:proofErr w:type="spellStart"/>
      <w:r w:rsidRPr="004D2E24">
        <w:rPr>
          <w:rFonts w:ascii="Garamond" w:hAnsi="Garamond" w:cs="Traditional Arabic"/>
          <w:i/>
          <w:iCs/>
          <w:lang w:bidi="ar-EG"/>
        </w:rPr>
        <w:t>Hyang</w:t>
      </w:r>
      <w:proofErr w:type="spellEnd"/>
      <w:r w:rsidRPr="004D2E24">
        <w:rPr>
          <w:rFonts w:ascii="Garamond" w:hAnsi="Garamond" w:cs="Traditional Arabic"/>
          <w:lang w:bidi="ar-EG"/>
        </w:rPr>
        <w:t>” itself means the spirit of ancestors. In ancient times, the peoples of the archipelago believed that the spirits of their deceased ancestors were gods or lords. After the people of this archipelago converted to Islam, they used this word as a form of worship to God. Even the act of praying in several places in Indonesia is called “</w:t>
      </w:r>
      <w:proofErr w:type="spellStart"/>
      <w:r w:rsidRPr="004D2E24">
        <w:rPr>
          <w:rFonts w:ascii="Garamond" w:hAnsi="Garamond" w:cs="Traditional Arabic"/>
          <w:i/>
          <w:iCs/>
          <w:lang w:bidi="ar-EG"/>
        </w:rPr>
        <w:t>Sembayang</w:t>
      </w:r>
      <w:proofErr w:type="spellEnd"/>
      <w:r w:rsidRPr="004D2E24">
        <w:rPr>
          <w:rFonts w:ascii="Garamond" w:hAnsi="Garamond" w:cs="Traditional Arabic"/>
          <w:lang w:bidi="ar-EG"/>
        </w:rPr>
        <w:t>.” The king was seen as the messenger of “Yang,” so respect for the king at that time was intense. When people wanted to meet the king, they had to kiss his shoes first as a sign of respect. Because of this intense respect for the king, he was also called “</w:t>
      </w:r>
      <w:proofErr w:type="spellStart"/>
      <w:r w:rsidRPr="004D2E24">
        <w:rPr>
          <w:rFonts w:ascii="Garamond" w:hAnsi="Garamond" w:cs="Traditional Arabic"/>
          <w:i/>
          <w:iCs/>
          <w:lang w:bidi="ar-EG"/>
        </w:rPr>
        <w:t>Gusti</w:t>
      </w:r>
      <w:proofErr w:type="spellEnd"/>
      <w:r>
        <w:rPr>
          <w:rFonts w:ascii="Garamond" w:hAnsi="Garamond" w:cs="Traditional Arabic"/>
          <w:lang w:bidi="ar-EG"/>
        </w:rPr>
        <w:t>”,</w:t>
      </w:r>
      <w:r w:rsidR="00FB14E1" w:rsidRPr="004D2E24">
        <w:rPr>
          <w:rStyle w:val="FootnoteReference"/>
          <w:rFonts w:ascii="Garamond" w:hAnsi="Garamond"/>
          <w:rtl/>
        </w:rPr>
        <w:footnoteReference w:id="81"/>
      </w:r>
      <w:r w:rsidR="00FB14E1" w:rsidRPr="004D2E24">
        <w:rPr>
          <w:rFonts w:ascii="Garamond" w:hAnsi="Garamond" w:cs="Traditional Arabic"/>
          <w:rtl/>
          <w:lang w:bidi="ar-EG"/>
        </w:rPr>
        <w:t xml:space="preserve"> </w:t>
      </w:r>
      <w:r>
        <w:rPr>
          <w:rFonts w:ascii="Garamond" w:hAnsi="Garamond" w:cs="Traditional Arabic"/>
          <w:lang w:bidi="ar-EG"/>
        </w:rPr>
        <w:t>a</w:t>
      </w:r>
      <w:r w:rsidRPr="004D2E24">
        <w:rPr>
          <w:rFonts w:ascii="Garamond" w:hAnsi="Garamond" w:cs="Traditional Arabic"/>
          <w:lang w:bidi="ar-EG"/>
        </w:rPr>
        <w:t>fter the advent of Islam, the word “</w:t>
      </w:r>
      <w:proofErr w:type="spellStart"/>
      <w:r w:rsidRPr="004D2E24">
        <w:rPr>
          <w:rFonts w:ascii="Garamond" w:hAnsi="Garamond" w:cs="Traditional Arabic"/>
          <w:i/>
          <w:iCs/>
          <w:lang w:bidi="ar-EG"/>
        </w:rPr>
        <w:t>Gusti</w:t>
      </w:r>
      <w:proofErr w:type="spellEnd"/>
      <w:r w:rsidRPr="004D2E24">
        <w:rPr>
          <w:rFonts w:ascii="Garamond" w:hAnsi="Garamond" w:cs="Traditional Arabic"/>
          <w:lang w:bidi="ar-EG"/>
        </w:rPr>
        <w:t>” was used to refer to the name of God, “</w:t>
      </w:r>
      <w:proofErr w:type="spellStart"/>
      <w:r w:rsidRPr="004D2E24">
        <w:rPr>
          <w:rFonts w:ascii="Garamond" w:hAnsi="Garamond" w:cs="Traditional Arabic"/>
          <w:i/>
          <w:iCs/>
          <w:lang w:bidi="ar-EG"/>
        </w:rPr>
        <w:t>Gusti</w:t>
      </w:r>
      <w:proofErr w:type="spellEnd"/>
      <w:r w:rsidRPr="004D2E24">
        <w:rPr>
          <w:rFonts w:ascii="Garamond" w:hAnsi="Garamond" w:cs="Traditional Arabic"/>
          <w:lang w:bidi="ar-EG"/>
        </w:rPr>
        <w:t xml:space="preserve"> Allah</w:t>
      </w:r>
      <w:r>
        <w:rPr>
          <w:rFonts w:ascii="Garamond" w:hAnsi="Garamond" w:cs="Traditional Arabic"/>
          <w:lang w:bidi="ar-EG"/>
        </w:rPr>
        <w:t>”.</w:t>
      </w:r>
      <w:r w:rsidR="00FB14E1" w:rsidRPr="004D2E24">
        <w:rPr>
          <w:rStyle w:val="FootnoteReference"/>
          <w:rFonts w:ascii="Garamond" w:hAnsi="Garamond"/>
          <w:rtl/>
        </w:rPr>
        <w:footnoteReference w:id="82"/>
      </w:r>
    </w:p>
    <w:p w:rsidR="00FB14E1" w:rsidRPr="00011C32" w:rsidRDefault="00D92B19" w:rsidP="00011C32">
      <w:pPr>
        <w:ind w:firstLine="686"/>
        <w:jc w:val="both"/>
        <w:rPr>
          <w:rFonts w:ascii="Garamond" w:hAnsi="Garamond" w:cs="Traditional Arabic"/>
          <w:lang w:bidi="ar-EG"/>
        </w:rPr>
      </w:pPr>
      <w:r w:rsidRPr="00011C32">
        <w:rPr>
          <w:rFonts w:ascii="Garamond" w:hAnsi="Garamond" w:cs="Traditional Arabic"/>
          <w:lang w:bidi="ar-EG"/>
        </w:rPr>
        <w:t>Feudalism is also considered one of the main reasons why it is challenging to eradicate traditional beliefs in Indonesia. Excessive admiration for the king has led to the continued overlap of Islamic beliefs with ancient beliefs. In addition, if the development of the Islamic kingdom in Indonesia is viewed through its history</w:t>
      </w:r>
      <w:r w:rsidR="00011C32">
        <w:rPr>
          <w:rFonts w:ascii="Garamond" w:hAnsi="Garamond" w:cs="Traditional Arabic"/>
          <w:lang w:bidi="ar-EG"/>
        </w:rPr>
        <w:t>,</w:t>
      </w:r>
      <w:r w:rsidR="00FB14E1" w:rsidRPr="00011C32">
        <w:rPr>
          <w:rStyle w:val="FootnoteReference"/>
          <w:rFonts w:ascii="Garamond" w:hAnsi="Garamond"/>
          <w:rtl/>
        </w:rPr>
        <w:footnoteReference w:id="83"/>
      </w:r>
      <w:r w:rsidR="00011C32">
        <w:rPr>
          <w:rFonts w:ascii="Garamond" w:hAnsi="Garamond" w:cs="Traditional Arabic"/>
          <w:lang w:bidi="ar-EG"/>
        </w:rPr>
        <w:t xml:space="preserve"> </w:t>
      </w:r>
      <w:r w:rsidR="00011C32" w:rsidRPr="00011C32">
        <w:rPr>
          <w:rFonts w:ascii="Garamond" w:hAnsi="Garamond" w:cs="Traditional Arabic"/>
          <w:lang w:bidi="ar-EG"/>
        </w:rPr>
        <w:t xml:space="preserve">In addition, there was a political effort to divide Muslims, not only in Indonesia but in all countries colonized by Europeans. In the history of the </w:t>
      </w:r>
      <w:proofErr w:type="spellStart"/>
      <w:r w:rsidR="00011C32" w:rsidRPr="00011C32">
        <w:rPr>
          <w:rFonts w:ascii="Garamond" w:hAnsi="Garamond" w:cs="Traditional Arabic"/>
          <w:lang w:bidi="ar-EG"/>
        </w:rPr>
        <w:t>Mataram</w:t>
      </w:r>
      <w:proofErr w:type="spellEnd"/>
      <w:r w:rsidR="00011C32" w:rsidRPr="00011C32">
        <w:rPr>
          <w:rFonts w:ascii="Garamond" w:hAnsi="Garamond" w:cs="Traditional Arabic"/>
          <w:lang w:bidi="ar-EG"/>
        </w:rPr>
        <w:t xml:space="preserve"> Kingdom (in the 16th and 18th centuries AD), for example, Sultan </w:t>
      </w:r>
      <w:proofErr w:type="spellStart"/>
      <w:r w:rsidR="00011C32" w:rsidRPr="00011C32">
        <w:rPr>
          <w:rFonts w:ascii="Garamond" w:hAnsi="Garamond" w:cs="Traditional Arabic"/>
          <w:lang w:bidi="ar-EG"/>
        </w:rPr>
        <w:t>Agung</w:t>
      </w:r>
      <w:proofErr w:type="spellEnd"/>
      <w:r w:rsidR="00011C32" w:rsidRPr="00011C32">
        <w:rPr>
          <w:rFonts w:ascii="Garamond" w:hAnsi="Garamond" w:cs="Traditional Arabic"/>
          <w:lang w:bidi="ar-EG"/>
        </w:rPr>
        <w:t xml:space="preserve">, who wanted to implement Islam fully, was forced into conflict with his son </w:t>
      </w:r>
      <w:proofErr w:type="spellStart"/>
      <w:r w:rsidR="00011C32" w:rsidRPr="00011C32">
        <w:rPr>
          <w:rFonts w:ascii="Garamond" w:hAnsi="Garamond" w:cs="Traditional Arabic"/>
          <w:lang w:bidi="ar-EG"/>
        </w:rPr>
        <w:t>Amangkurat</w:t>
      </w:r>
      <w:proofErr w:type="spellEnd"/>
      <w:r w:rsidR="00011C32" w:rsidRPr="00011C32">
        <w:rPr>
          <w:rFonts w:ascii="Garamond" w:hAnsi="Garamond" w:cs="Traditional Arabic"/>
          <w:lang w:bidi="ar-EG"/>
        </w:rPr>
        <w:t xml:space="preserve"> I, whom the colonizers influenced at that time. Therefore, a civil war broke out, resulting in the defeat of Sultan </w:t>
      </w:r>
      <w:proofErr w:type="spellStart"/>
      <w:r w:rsidR="00011C32" w:rsidRPr="00011C32">
        <w:rPr>
          <w:rFonts w:ascii="Garamond" w:hAnsi="Garamond" w:cs="Traditional Arabic"/>
          <w:lang w:bidi="ar-EG"/>
        </w:rPr>
        <w:t>Agung</w:t>
      </w:r>
      <w:proofErr w:type="spellEnd"/>
      <w:r w:rsidR="00011C32" w:rsidRPr="00011C32">
        <w:rPr>
          <w:rFonts w:ascii="Garamond" w:hAnsi="Garamond" w:cs="Traditional Arabic"/>
          <w:lang w:bidi="ar-EG"/>
        </w:rPr>
        <w:t xml:space="preserve">. His son, </w:t>
      </w:r>
      <w:proofErr w:type="spellStart"/>
      <w:r w:rsidR="00011C32" w:rsidRPr="00011C32">
        <w:rPr>
          <w:rFonts w:ascii="Garamond" w:hAnsi="Garamond" w:cs="Traditional Arabic"/>
          <w:lang w:bidi="ar-EG"/>
        </w:rPr>
        <w:t>Amangkurat</w:t>
      </w:r>
      <w:proofErr w:type="spellEnd"/>
      <w:r w:rsidR="00011C32" w:rsidRPr="00011C32">
        <w:rPr>
          <w:rFonts w:ascii="Garamond" w:hAnsi="Garamond" w:cs="Traditional Arabic"/>
          <w:lang w:bidi="ar-EG"/>
        </w:rPr>
        <w:t xml:space="preserve"> I, ascended the throne, but the colonists overshadowed his authority. During his reign, </w:t>
      </w:r>
      <w:proofErr w:type="spellStart"/>
      <w:r w:rsidR="00011C32" w:rsidRPr="00011C32">
        <w:rPr>
          <w:rFonts w:ascii="Garamond" w:hAnsi="Garamond" w:cs="Traditional Arabic"/>
          <w:lang w:bidi="ar-EG"/>
        </w:rPr>
        <w:t>Amangkurat</w:t>
      </w:r>
      <w:proofErr w:type="spellEnd"/>
      <w:r w:rsidR="00011C32" w:rsidRPr="00011C32">
        <w:rPr>
          <w:rFonts w:ascii="Garamond" w:hAnsi="Garamond" w:cs="Traditional Arabic"/>
          <w:lang w:bidi="ar-EG"/>
        </w:rPr>
        <w:t xml:space="preserve"> I often upheld traditions to the extent that scholars and clerics were considered a threat to the safety </w:t>
      </w:r>
      <w:r w:rsidR="00011C32" w:rsidRPr="00011C32">
        <w:rPr>
          <w:rFonts w:ascii="Garamond" w:hAnsi="Garamond" w:cs="Traditional Arabic"/>
          <w:lang w:bidi="ar-EG"/>
        </w:rPr>
        <w:lastRenderedPageBreak/>
        <w:t>of his kingdom</w:t>
      </w:r>
      <w:r w:rsidR="00011C32">
        <w:rPr>
          <w:rFonts w:ascii="Garamond" w:hAnsi="Garamond" w:cs="Traditional Arabic"/>
          <w:lang w:bidi="ar-EG"/>
        </w:rPr>
        <w:t>.</w:t>
      </w:r>
      <w:r w:rsidR="00FB14E1" w:rsidRPr="00011C32">
        <w:rPr>
          <w:rStyle w:val="FootnoteReference"/>
          <w:rFonts w:ascii="Garamond" w:hAnsi="Garamond"/>
          <w:rtl/>
        </w:rPr>
        <w:footnoteReference w:id="84"/>
      </w:r>
      <w:r w:rsidR="00011C32">
        <w:rPr>
          <w:rFonts w:ascii="Garamond" w:hAnsi="Garamond" w:cs="Traditional Arabic"/>
          <w:lang w:bidi="ar-EG"/>
        </w:rPr>
        <w:t xml:space="preserve"> </w:t>
      </w:r>
      <w:r w:rsidR="00011C32" w:rsidRPr="00011C32">
        <w:rPr>
          <w:rFonts w:ascii="Garamond" w:hAnsi="Garamond" w:cs="Traditional Arabic"/>
          <w:lang w:bidi="ar-EG"/>
        </w:rPr>
        <w:t xml:space="preserve">Therefore, the development of Islam in Indonesia from the beginning was met with hostility, or what is known today as </w:t>
      </w:r>
      <w:proofErr w:type="spellStart"/>
      <w:r w:rsidR="00011C32" w:rsidRPr="00011C32">
        <w:rPr>
          <w:rFonts w:ascii="Garamond" w:hAnsi="Garamond" w:cs="Traditional Arabic"/>
          <w:lang w:bidi="ar-EG"/>
        </w:rPr>
        <w:t>Islamophobia</w:t>
      </w:r>
      <w:proofErr w:type="spellEnd"/>
      <w:r w:rsidR="00011C32" w:rsidRPr="00011C32">
        <w:rPr>
          <w:rFonts w:ascii="Garamond" w:hAnsi="Garamond" w:cs="Traditional Arabic"/>
          <w:lang w:bidi="ar-EG"/>
        </w:rPr>
        <w:t>. As Clifford Geertz mentioned, the terminology “</w:t>
      </w:r>
      <w:proofErr w:type="spellStart"/>
      <w:r w:rsidR="00011C32" w:rsidRPr="00011C32">
        <w:rPr>
          <w:rFonts w:ascii="Garamond" w:hAnsi="Garamond" w:cs="Traditional Arabic"/>
          <w:i/>
          <w:iCs/>
          <w:lang w:bidi="ar-EG"/>
        </w:rPr>
        <w:t>Abangan</w:t>
      </w:r>
      <w:proofErr w:type="spellEnd"/>
      <w:r w:rsidR="00011C32" w:rsidRPr="00011C32">
        <w:rPr>
          <w:rFonts w:ascii="Garamond" w:hAnsi="Garamond" w:cs="Traditional Arabic"/>
          <w:lang w:bidi="ar-EG"/>
        </w:rPr>
        <w:t>,” “</w:t>
      </w:r>
      <w:proofErr w:type="spellStart"/>
      <w:r w:rsidR="00011C32" w:rsidRPr="00011C32">
        <w:rPr>
          <w:rFonts w:ascii="Garamond" w:hAnsi="Garamond" w:cs="Traditional Arabic"/>
          <w:i/>
          <w:iCs/>
          <w:lang w:bidi="ar-EG"/>
        </w:rPr>
        <w:t>Priyayi</w:t>
      </w:r>
      <w:proofErr w:type="spellEnd"/>
      <w:r w:rsidR="00011C32" w:rsidRPr="00011C32">
        <w:rPr>
          <w:rFonts w:ascii="Garamond" w:hAnsi="Garamond" w:cs="Traditional Arabic"/>
          <w:lang w:bidi="ar-EG"/>
        </w:rPr>
        <w:t>,” and “</w:t>
      </w:r>
      <w:proofErr w:type="spellStart"/>
      <w:r w:rsidR="00011C32" w:rsidRPr="00011C32">
        <w:rPr>
          <w:rFonts w:ascii="Garamond" w:hAnsi="Garamond" w:cs="Traditional Arabic"/>
          <w:i/>
          <w:iCs/>
          <w:lang w:bidi="ar-EG"/>
        </w:rPr>
        <w:t>Santri</w:t>
      </w:r>
      <w:proofErr w:type="spellEnd"/>
      <w:r w:rsidR="00011C32" w:rsidRPr="00011C32">
        <w:rPr>
          <w:rFonts w:ascii="Garamond" w:hAnsi="Garamond" w:cs="Traditional Arabic"/>
          <w:lang w:bidi="ar-EG"/>
        </w:rPr>
        <w:t>” emerged in Javanese tradition</w:t>
      </w:r>
      <w:r w:rsidR="00011C32">
        <w:rPr>
          <w:rFonts w:ascii="Garamond" w:hAnsi="Garamond" w:cs="Traditional Arabic"/>
          <w:lang w:bidi="ar-EG"/>
        </w:rPr>
        <w:t>.</w:t>
      </w:r>
      <w:r w:rsidR="00FB14E1" w:rsidRPr="00011C32">
        <w:rPr>
          <w:rStyle w:val="FootnoteReference"/>
          <w:rFonts w:ascii="Garamond" w:hAnsi="Garamond"/>
          <w:rtl/>
        </w:rPr>
        <w:footnoteReference w:id="85"/>
      </w:r>
    </w:p>
    <w:p w:rsidR="00FB14E1" w:rsidRPr="004F4B3C" w:rsidRDefault="00011C32" w:rsidP="004F4B3C">
      <w:pPr>
        <w:ind w:firstLine="686"/>
        <w:jc w:val="both"/>
        <w:rPr>
          <w:rFonts w:ascii="Garamond" w:hAnsi="Garamond" w:cs="Traditional Arabic"/>
          <w:rtl/>
          <w:lang w:bidi="ar-EG"/>
        </w:rPr>
      </w:pPr>
      <w:r w:rsidRPr="004F4B3C">
        <w:rPr>
          <w:rFonts w:ascii="Garamond" w:hAnsi="Garamond" w:cs="Traditional Arabic"/>
          <w:lang w:bidi="ar-EG"/>
        </w:rPr>
        <w:t xml:space="preserve">Clifford Geertz therefore realized that </w:t>
      </w:r>
      <w:proofErr w:type="spellStart"/>
      <w:r w:rsidRPr="004F4B3C">
        <w:rPr>
          <w:rFonts w:ascii="Garamond" w:hAnsi="Garamond" w:cs="Traditional Arabic"/>
          <w:lang w:bidi="ar-EG"/>
        </w:rPr>
        <w:t>Abangan</w:t>
      </w:r>
      <w:proofErr w:type="spellEnd"/>
      <w:r w:rsidRPr="004F4B3C">
        <w:rPr>
          <w:rFonts w:ascii="Garamond" w:hAnsi="Garamond" w:cs="Traditional Arabic"/>
          <w:lang w:bidi="ar-EG"/>
        </w:rPr>
        <w:t xml:space="preserve"> and </w:t>
      </w:r>
      <w:proofErr w:type="spellStart"/>
      <w:r w:rsidRPr="004F4B3C">
        <w:rPr>
          <w:rFonts w:ascii="Garamond" w:hAnsi="Garamond" w:cs="Traditional Arabic"/>
          <w:lang w:bidi="ar-EG"/>
        </w:rPr>
        <w:t>Priyay</w:t>
      </w:r>
      <w:proofErr w:type="spellEnd"/>
      <w:r w:rsidRPr="004F4B3C">
        <w:rPr>
          <w:rFonts w:ascii="Garamond" w:hAnsi="Garamond" w:cs="Traditional Arabic"/>
          <w:lang w:bidi="ar-EG"/>
        </w:rPr>
        <w:t xml:space="preserve"> had adopted a familiar, acculturated cultural role influenced by the Dutch colonizers. Indeed, this is inversely proportional to the </w:t>
      </w:r>
      <w:proofErr w:type="spellStart"/>
      <w:r w:rsidRPr="004F4B3C">
        <w:rPr>
          <w:rFonts w:ascii="Garamond" w:hAnsi="Garamond" w:cs="Traditional Arabic"/>
          <w:lang w:bidi="ar-EG"/>
        </w:rPr>
        <w:t>Santri</w:t>
      </w:r>
      <w:proofErr w:type="spellEnd"/>
      <w:r w:rsidRPr="004F4B3C">
        <w:rPr>
          <w:rFonts w:ascii="Garamond" w:hAnsi="Garamond" w:cs="Traditional Arabic"/>
          <w:lang w:bidi="ar-EG"/>
        </w:rPr>
        <w:t xml:space="preserve">, who want to apply Islam in its purest form. Therefore, cultures such as </w:t>
      </w:r>
      <w:proofErr w:type="spellStart"/>
      <w:r w:rsidRPr="004F4B3C">
        <w:rPr>
          <w:rFonts w:ascii="Garamond" w:hAnsi="Garamond" w:cs="Traditional Arabic"/>
          <w:lang w:bidi="ar-EG"/>
        </w:rPr>
        <w:t>Selamatan</w:t>
      </w:r>
      <w:proofErr w:type="spellEnd"/>
      <w:r w:rsidRPr="004F4B3C">
        <w:rPr>
          <w:rFonts w:ascii="Garamond" w:hAnsi="Garamond" w:cs="Traditional Arabic"/>
          <w:lang w:bidi="ar-EG"/>
        </w:rPr>
        <w:t>, dance, music, drama (theater), and Hindu-Buddhist mysticism are very prevalent among the Javanese people</w:t>
      </w:r>
      <w:r w:rsidR="004F4B3C">
        <w:rPr>
          <w:rFonts w:ascii="Garamond" w:hAnsi="Garamond" w:cs="Traditional Arabic"/>
          <w:lang w:bidi="ar-EG"/>
        </w:rPr>
        <w:t>.</w:t>
      </w:r>
      <w:r w:rsidR="00FB14E1" w:rsidRPr="004F4B3C">
        <w:rPr>
          <w:rStyle w:val="FootnoteReference"/>
          <w:rFonts w:ascii="Garamond" w:hAnsi="Garamond"/>
          <w:rtl/>
        </w:rPr>
        <w:footnoteReference w:id="86"/>
      </w:r>
      <w:r w:rsidR="004F4B3C">
        <w:rPr>
          <w:rFonts w:ascii="Garamond" w:hAnsi="Garamond" w:cs="Traditional Arabic"/>
          <w:lang w:bidi="ar-EG"/>
        </w:rPr>
        <w:t xml:space="preserve"> </w:t>
      </w:r>
      <w:r w:rsidR="004F4B3C" w:rsidRPr="004F4B3C">
        <w:rPr>
          <w:rFonts w:ascii="Garamond" w:hAnsi="Garamond" w:cs="Traditional Arabic"/>
          <w:lang w:bidi="ar-EG"/>
        </w:rPr>
        <w:t>This acculturation is what the authors criticize, because the understanding of “Living Hadith” focuses on application that does not emphasize the correct values in the view of Sharia. From the perspective of “Living Hadith,” one sees only a culture that has arisen in society without critiquing the reality of that culture. What emerges is Javanese Islam, or Islam characterized by the characteristics of other regions, resulting in a diversity of Islamic styles. Because of the overly regional nature of the religion, many researchers refer to it as the Javanese religion, as C.C. Berg and Clifford Geertz have said. They call it the religion of Java</w:t>
      </w:r>
      <w:r w:rsidR="004F4B3C">
        <w:rPr>
          <w:rFonts w:ascii="Garamond" w:hAnsi="Garamond" w:cs="Traditional Arabic"/>
          <w:lang w:bidi="ar-EG"/>
        </w:rPr>
        <w:t>.</w:t>
      </w:r>
      <w:r w:rsidR="00FB14E1" w:rsidRPr="004F4B3C">
        <w:rPr>
          <w:rStyle w:val="FootnoteReference"/>
          <w:rFonts w:ascii="Garamond" w:hAnsi="Garamond"/>
          <w:rtl/>
        </w:rPr>
        <w:footnoteReference w:id="87"/>
      </w:r>
    </w:p>
    <w:p w:rsidR="00FB14E1" w:rsidRPr="00B60B3B" w:rsidRDefault="00455530" w:rsidP="00B60B3B">
      <w:pPr>
        <w:ind w:firstLine="686"/>
        <w:jc w:val="both"/>
        <w:rPr>
          <w:rFonts w:ascii="Garamond" w:hAnsi="Garamond" w:cs="Traditional Arabic"/>
          <w:rtl/>
          <w:lang w:bidi="ar-EG"/>
        </w:rPr>
      </w:pPr>
      <w:r w:rsidRPr="00455530">
        <w:rPr>
          <w:rFonts w:ascii="Garamond" w:hAnsi="Garamond" w:cs="Traditional Arabic"/>
          <w:lang w:bidi="ar-EG"/>
        </w:rPr>
        <w:t xml:space="preserve">This concept of “Living Hadith” seems to be more extreme than the concept of “Living Tradition” as understood by Orientalists in their understanding of the </w:t>
      </w:r>
      <w:proofErr w:type="spellStart"/>
      <w:r w:rsidRPr="00455530">
        <w:rPr>
          <w:rFonts w:ascii="Garamond" w:hAnsi="Garamond" w:cs="Traditional Arabic"/>
          <w:lang w:bidi="ar-EG"/>
        </w:rPr>
        <w:t>Sunnah</w:t>
      </w:r>
      <w:proofErr w:type="spellEnd"/>
      <w:r w:rsidRPr="00455530">
        <w:rPr>
          <w:rFonts w:ascii="Garamond" w:hAnsi="Garamond" w:cs="Traditional Arabic"/>
          <w:lang w:bidi="ar-EG"/>
        </w:rPr>
        <w:t xml:space="preserve">. </w:t>
      </w:r>
      <w:proofErr w:type="gramStart"/>
      <w:r w:rsidRPr="00455530">
        <w:rPr>
          <w:rFonts w:ascii="Garamond" w:hAnsi="Garamond" w:cs="Traditional Arabic"/>
          <w:lang w:bidi="ar-EG"/>
        </w:rPr>
        <w:t xml:space="preserve">Because the Living Tradition that they understand is the </w:t>
      </w:r>
      <w:proofErr w:type="spellStart"/>
      <w:r w:rsidRPr="00455530">
        <w:rPr>
          <w:rFonts w:ascii="Garamond" w:hAnsi="Garamond" w:cs="Traditional Arabic"/>
          <w:lang w:bidi="ar-EG"/>
        </w:rPr>
        <w:t>Sunnah</w:t>
      </w:r>
      <w:proofErr w:type="spellEnd"/>
      <w:r w:rsidRPr="00455530">
        <w:rPr>
          <w:rFonts w:ascii="Garamond" w:hAnsi="Garamond" w:cs="Traditional Arabic"/>
          <w:lang w:bidi="ar-EG"/>
        </w:rPr>
        <w:t xml:space="preserve"> developed by scholars or jurists, who therefore attribute it to the Messenger of Allah</w:t>
      </w:r>
      <w:r w:rsidR="00B60B3B">
        <w:rPr>
          <w:rFonts w:ascii="Garamond" w:hAnsi="Garamond" w:cs="Traditional Arabic"/>
          <w:lang w:bidi="ar-EG"/>
        </w:rPr>
        <w:t xml:space="preserve"> </w:t>
      </w:r>
      <w:r w:rsidR="00B60B3B">
        <w:rPr>
          <w:rFonts w:ascii="Traditional Arabic" w:hAnsi="Traditional Arabic" w:cs="Traditional Arabic"/>
          <w:rtl/>
          <w:lang w:bidi="ar-EG"/>
        </w:rPr>
        <w:t>ﷺ</w:t>
      </w:r>
      <w:r w:rsidR="00B60B3B">
        <w:rPr>
          <w:rFonts w:ascii="Traditional Arabic" w:hAnsi="Traditional Arabic" w:cs="Traditional Arabic"/>
          <w:lang w:bidi="ar-EG"/>
        </w:rPr>
        <w:t>.</w:t>
      </w:r>
      <w:proofErr w:type="gramEnd"/>
      <w:r w:rsidRPr="00455530">
        <w:rPr>
          <w:rFonts w:ascii="Garamond" w:hAnsi="Garamond" w:cs="Traditional Arabic"/>
          <w:rtl/>
          <w:lang w:bidi="ar-EG"/>
        </w:rPr>
        <w:t xml:space="preserve"> </w:t>
      </w:r>
      <w:r w:rsidR="00B60B3B">
        <w:rPr>
          <w:rFonts w:ascii="Garamond" w:hAnsi="Garamond" w:cs="Traditional Arabic"/>
          <w:lang w:bidi="ar-EG"/>
        </w:rPr>
        <w:t xml:space="preserve"> </w:t>
      </w:r>
      <w:r w:rsidRPr="00455530">
        <w:rPr>
          <w:rFonts w:ascii="Garamond" w:hAnsi="Garamond" w:cs="Traditional Arabic"/>
          <w:lang w:bidi="ar-EG"/>
        </w:rPr>
        <w:t>In Indonesia, the concept of “Living Hadith” is a normalization of a culture based on the beliefs of ancestors, which, in some aspects, is similar to syncretism</w:t>
      </w:r>
      <w:r w:rsidR="00B60B3B">
        <w:rPr>
          <w:rFonts w:ascii="Garamond" w:hAnsi="Garamond" w:cs="Traditional Arabic"/>
          <w:lang w:bidi="ar-EG"/>
        </w:rPr>
        <w:t xml:space="preserve">. </w:t>
      </w:r>
      <w:r w:rsidR="00B60B3B" w:rsidRPr="00B60B3B">
        <w:rPr>
          <w:rFonts w:ascii="Garamond" w:hAnsi="Garamond" w:cs="Traditional Arabic"/>
          <w:lang w:bidi="ar-EG"/>
        </w:rPr>
        <w:t>Although according to Barbara D. Metcalf in "</w:t>
      </w:r>
      <w:proofErr w:type="spellStart"/>
      <w:r w:rsidR="00B60B3B" w:rsidRPr="00B60B3B">
        <w:rPr>
          <w:rFonts w:ascii="Garamond" w:hAnsi="Garamond" w:cs="Traditional Arabic"/>
          <w:i/>
          <w:iCs/>
          <w:lang w:bidi="ar-EG"/>
        </w:rPr>
        <w:t>Tabligh</w:t>
      </w:r>
      <w:proofErr w:type="spellEnd"/>
      <w:r w:rsidR="00B60B3B" w:rsidRPr="00B60B3B">
        <w:rPr>
          <w:rFonts w:ascii="Garamond" w:hAnsi="Garamond" w:cs="Traditional Arabic"/>
          <w:lang w:bidi="ar-EG"/>
        </w:rPr>
        <w:t xml:space="preserve"> al-</w:t>
      </w:r>
      <w:proofErr w:type="spellStart"/>
      <w:r w:rsidR="00B60B3B" w:rsidRPr="00B60B3B">
        <w:rPr>
          <w:rFonts w:ascii="Garamond" w:hAnsi="Garamond" w:cs="Traditional Arabic"/>
          <w:lang w:bidi="ar-EG"/>
        </w:rPr>
        <w:t>Jama'ah</w:t>
      </w:r>
      <w:proofErr w:type="spellEnd"/>
      <w:r w:rsidR="00B60B3B" w:rsidRPr="00B60B3B">
        <w:rPr>
          <w:rFonts w:ascii="Garamond" w:hAnsi="Garamond" w:cs="Traditional Arabic"/>
          <w:lang w:bidi="ar-EG"/>
        </w:rPr>
        <w:t>," the meaning of "Living Hadith" is the application of the noble prophetic hadith, he said</w:t>
      </w:r>
      <w:r w:rsidR="00FB14E1" w:rsidRPr="00B60B3B">
        <w:rPr>
          <w:rFonts w:ascii="Garamond" w:hAnsi="Garamond" w:cs="Traditional Arabic"/>
          <w:rtl/>
          <w:lang w:bidi="ar-EG"/>
        </w:rPr>
        <w:t>:</w:t>
      </w:r>
    </w:p>
    <w:p w:rsidR="00FB14E1" w:rsidRPr="00EA2BDC" w:rsidRDefault="00B60B3B" w:rsidP="00B60B3B">
      <w:pPr>
        <w:spacing w:after="300"/>
        <w:ind w:left="720" w:right="680"/>
        <w:jc w:val="both"/>
        <w:rPr>
          <w:rFonts w:asciiTheme="majorBidi" w:eastAsia="Times New Roman" w:hAnsiTheme="majorBidi" w:cstheme="majorBidi"/>
          <w:rtl/>
        </w:rPr>
      </w:pPr>
      <w:r>
        <w:rPr>
          <w:rFonts w:ascii="Garamond" w:eastAsia="Times New Roman" w:hAnsi="Garamond" w:cstheme="majorBidi"/>
        </w:rPr>
        <w:t>“</w:t>
      </w:r>
      <w:r w:rsidR="00FB14E1" w:rsidRPr="00B60B3B">
        <w:rPr>
          <w:rFonts w:ascii="Garamond" w:eastAsia="Times New Roman" w:hAnsi="Garamond" w:cstheme="majorBidi"/>
        </w:rPr>
        <w:t>To speak of "living hadith," as my title suggests, has a double meaning. Followers attempt to live by hadith but in such a way that they aspire to internalize the written/heard texts to the point that they ideally become, in a sense, "living hadith</w:t>
      </w:r>
      <w:r>
        <w:rPr>
          <w:rFonts w:ascii="Garamond" w:eastAsia="Times New Roman" w:hAnsi="Garamond" w:cstheme="majorBidi"/>
        </w:rPr>
        <w:t>”</w:t>
      </w:r>
      <w:r w:rsidR="00FB14E1" w:rsidRPr="007851D7">
        <w:rPr>
          <w:rFonts w:ascii="Garamond" w:eastAsia="Times New Roman" w:hAnsi="Garamond" w:cstheme="majorBidi"/>
        </w:rPr>
        <w:t>.</w:t>
      </w:r>
      <w:r w:rsidR="00FB14E1" w:rsidRPr="007851D7">
        <w:rPr>
          <w:rStyle w:val="FootnoteReference"/>
          <w:rFonts w:ascii="Garamond" w:hAnsi="Garamond"/>
        </w:rPr>
        <w:footnoteReference w:id="88"/>
      </w:r>
    </w:p>
    <w:p w:rsidR="00FB14E1" w:rsidRPr="007851D7" w:rsidRDefault="007851D7" w:rsidP="007851D7">
      <w:pPr>
        <w:ind w:firstLine="686"/>
        <w:jc w:val="both"/>
        <w:rPr>
          <w:rFonts w:ascii="Garamond" w:eastAsia="Times New Roman" w:hAnsi="Garamond" w:cs="Traditional Arabic"/>
          <w:rtl/>
          <w:lang w:bidi="ar-EG"/>
        </w:rPr>
      </w:pPr>
      <w:r w:rsidRPr="007851D7">
        <w:rPr>
          <w:rFonts w:ascii="Garamond" w:eastAsia="Times New Roman" w:hAnsi="Garamond" w:cs="Traditional Arabic"/>
          <w:lang w:bidi="ar-EG"/>
        </w:rPr>
        <w:t xml:space="preserve">An overview of the article written by Barbara D. </w:t>
      </w:r>
      <w:proofErr w:type="spellStart"/>
      <w:r w:rsidRPr="007851D7">
        <w:rPr>
          <w:rFonts w:ascii="Garamond" w:eastAsia="Times New Roman" w:hAnsi="Garamond" w:cs="Traditional Arabic"/>
          <w:lang w:bidi="ar-EG"/>
        </w:rPr>
        <w:t>Mitcalf</w:t>
      </w:r>
      <w:proofErr w:type="spellEnd"/>
      <w:r w:rsidRPr="007851D7">
        <w:rPr>
          <w:rFonts w:ascii="Garamond" w:eastAsia="Times New Roman" w:hAnsi="Garamond" w:cs="Traditional Arabic"/>
          <w:lang w:bidi="ar-EG"/>
        </w:rPr>
        <w:t xml:space="preserve"> reveals that it examines the </w:t>
      </w:r>
      <w:proofErr w:type="spellStart"/>
      <w:r w:rsidRPr="007851D7">
        <w:rPr>
          <w:rFonts w:ascii="Garamond" w:eastAsia="Times New Roman" w:hAnsi="Garamond" w:cs="Traditional Arabic"/>
          <w:lang w:bidi="ar-EG"/>
        </w:rPr>
        <w:t>Tablighi</w:t>
      </w:r>
      <w:proofErr w:type="spellEnd"/>
      <w:r w:rsidRPr="007851D7">
        <w:rPr>
          <w:rFonts w:ascii="Garamond" w:eastAsia="Times New Roman" w:hAnsi="Garamond" w:cs="Traditional Arabic"/>
          <w:lang w:bidi="ar-EG"/>
        </w:rPr>
        <w:t xml:space="preserve"> </w:t>
      </w:r>
      <w:proofErr w:type="spellStart"/>
      <w:r w:rsidRPr="007851D7">
        <w:rPr>
          <w:rFonts w:ascii="Garamond" w:eastAsia="Times New Roman" w:hAnsi="Garamond" w:cs="Traditional Arabic"/>
          <w:lang w:bidi="ar-EG"/>
        </w:rPr>
        <w:t>Jamaat</w:t>
      </w:r>
      <w:proofErr w:type="spellEnd"/>
      <w:r w:rsidRPr="007851D7">
        <w:rPr>
          <w:rFonts w:ascii="Garamond" w:eastAsia="Times New Roman" w:hAnsi="Garamond" w:cs="Traditional Arabic"/>
          <w:lang w:bidi="ar-EG"/>
        </w:rPr>
        <w:t xml:space="preserve"> movement in India, which applied the noble Prophetic Hadith through a collection of Prophetic Hadith written by </w:t>
      </w:r>
      <w:proofErr w:type="spellStart"/>
      <w:r w:rsidRPr="007851D7">
        <w:rPr>
          <w:rFonts w:ascii="Garamond" w:eastAsia="Times New Roman" w:hAnsi="Garamond" w:cs="Traditional Arabic"/>
          <w:lang w:bidi="ar-EG"/>
        </w:rPr>
        <w:t>Maulana</w:t>
      </w:r>
      <w:proofErr w:type="spellEnd"/>
      <w:r w:rsidRPr="007851D7">
        <w:rPr>
          <w:rFonts w:ascii="Garamond" w:eastAsia="Times New Roman" w:hAnsi="Garamond" w:cs="Traditional Arabic"/>
          <w:lang w:bidi="ar-EG"/>
        </w:rPr>
        <w:t xml:space="preserve"> Muhammad </w:t>
      </w:r>
      <w:proofErr w:type="spellStart"/>
      <w:r w:rsidRPr="007851D7">
        <w:rPr>
          <w:rFonts w:ascii="Garamond" w:eastAsia="Times New Roman" w:hAnsi="Garamond" w:cs="Traditional Arabic"/>
          <w:lang w:bidi="ar-EG"/>
        </w:rPr>
        <w:t>Zakaria</w:t>
      </w:r>
      <w:proofErr w:type="spellEnd"/>
      <w:r w:rsidRPr="007851D7">
        <w:rPr>
          <w:rFonts w:ascii="Garamond" w:eastAsia="Times New Roman" w:hAnsi="Garamond" w:cs="Traditional Arabic"/>
          <w:lang w:bidi="ar-EG"/>
        </w:rPr>
        <w:t xml:space="preserve"> </w:t>
      </w:r>
      <w:proofErr w:type="spellStart"/>
      <w:r w:rsidRPr="007851D7">
        <w:rPr>
          <w:rFonts w:ascii="Garamond" w:eastAsia="Times New Roman" w:hAnsi="Garamond" w:cs="Traditional Arabic"/>
          <w:lang w:bidi="ar-EG"/>
        </w:rPr>
        <w:t>Qandlawi</w:t>
      </w:r>
      <w:proofErr w:type="spellEnd"/>
      <w:r w:rsidRPr="007851D7">
        <w:rPr>
          <w:rFonts w:ascii="Garamond" w:eastAsia="Times New Roman" w:hAnsi="Garamond" w:cs="Traditional Arabic"/>
          <w:lang w:bidi="ar-EG"/>
        </w:rPr>
        <w:t xml:space="preserve"> (1898-1982). Originally published around 1950, the collection is considered a methodology for the members of this group, as it contains hadiths on the virtues of good deeds. The background to its compilation was a suggestion by the founder of the group, </w:t>
      </w:r>
      <w:proofErr w:type="spellStart"/>
      <w:r w:rsidRPr="007851D7">
        <w:rPr>
          <w:rFonts w:ascii="Garamond" w:eastAsia="Times New Roman" w:hAnsi="Garamond" w:cs="Traditional Arabic"/>
          <w:lang w:bidi="ar-EG"/>
        </w:rPr>
        <w:t>Maulana</w:t>
      </w:r>
      <w:proofErr w:type="spellEnd"/>
      <w:r w:rsidRPr="007851D7">
        <w:rPr>
          <w:rFonts w:ascii="Garamond" w:eastAsia="Times New Roman" w:hAnsi="Garamond" w:cs="Traditional Arabic"/>
          <w:lang w:bidi="ar-EG"/>
        </w:rPr>
        <w:t xml:space="preserve"> Muhammad </w:t>
      </w:r>
      <w:proofErr w:type="spellStart"/>
      <w:r w:rsidRPr="007851D7">
        <w:rPr>
          <w:rFonts w:ascii="Garamond" w:eastAsia="Times New Roman" w:hAnsi="Garamond" w:cs="Traditional Arabic"/>
          <w:lang w:bidi="ar-EG"/>
        </w:rPr>
        <w:t>Ilyas</w:t>
      </w:r>
      <w:proofErr w:type="spellEnd"/>
      <w:r w:rsidRPr="007851D7">
        <w:rPr>
          <w:rFonts w:ascii="Garamond" w:eastAsia="Times New Roman" w:hAnsi="Garamond" w:cs="Traditional Arabic"/>
          <w:lang w:bidi="ar-EG"/>
        </w:rPr>
        <w:t xml:space="preserve"> </w:t>
      </w:r>
      <w:proofErr w:type="spellStart"/>
      <w:r w:rsidRPr="007851D7">
        <w:rPr>
          <w:rFonts w:ascii="Garamond" w:eastAsia="Times New Roman" w:hAnsi="Garamond" w:cs="Traditional Arabic"/>
          <w:lang w:bidi="ar-EG"/>
        </w:rPr>
        <w:t>Qandlawi</w:t>
      </w:r>
      <w:proofErr w:type="spellEnd"/>
      <w:r>
        <w:rPr>
          <w:rFonts w:ascii="Garamond" w:eastAsia="Times New Roman" w:hAnsi="Garamond" w:cs="Traditional Arabic"/>
          <w:lang w:bidi="ar-EG"/>
        </w:rPr>
        <w:t>.</w:t>
      </w:r>
      <w:r w:rsidR="00FB14E1" w:rsidRPr="007851D7">
        <w:rPr>
          <w:rStyle w:val="FootnoteReference"/>
          <w:rFonts w:ascii="Garamond" w:hAnsi="Garamond"/>
          <w:rtl/>
        </w:rPr>
        <w:footnoteReference w:id="89"/>
      </w:r>
    </w:p>
    <w:p w:rsidR="005E0A1F" w:rsidRDefault="005E0A1F" w:rsidP="008F1342">
      <w:pPr>
        <w:ind w:firstLine="686"/>
        <w:jc w:val="both"/>
        <w:rPr>
          <w:rFonts w:ascii="Garamond" w:eastAsia="Times New Roman" w:hAnsi="Garamond" w:cs="Traditional Arabic"/>
          <w:lang w:bidi="ar-EG"/>
        </w:rPr>
      </w:pPr>
      <w:r w:rsidRPr="005E0A1F">
        <w:rPr>
          <w:rFonts w:ascii="Garamond" w:eastAsia="Times New Roman" w:hAnsi="Garamond" w:cs="Traditional Arabic"/>
          <w:lang w:bidi="ar-EG"/>
        </w:rPr>
        <w:t xml:space="preserve">The subsequent issue with the "Living Hadith" approach is that the consideration of the authenticity of the hadith in terms of its acceptance or rejection is not essential. In the author's view, this approach is as dangerous as that of those who reject the </w:t>
      </w:r>
      <w:proofErr w:type="spellStart"/>
      <w:r w:rsidRPr="005E0A1F">
        <w:rPr>
          <w:rFonts w:ascii="Garamond" w:eastAsia="Times New Roman" w:hAnsi="Garamond" w:cs="Traditional Arabic"/>
          <w:lang w:bidi="ar-EG"/>
        </w:rPr>
        <w:t>Sunnah</w:t>
      </w:r>
      <w:proofErr w:type="spellEnd"/>
      <w:r w:rsidRPr="005E0A1F">
        <w:rPr>
          <w:rFonts w:ascii="Garamond" w:eastAsia="Times New Roman" w:hAnsi="Garamond" w:cs="Traditional Arabic"/>
          <w:lang w:bidi="ar-EG"/>
        </w:rPr>
        <w:t xml:space="preserve">, and perhaps even more so. How can one practice in society without a basis that confirms its </w:t>
      </w:r>
      <w:r w:rsidRPr="005E0A1F">
        <w:rPr>
          <w:rFonts w:ascii="Garamond" w:eastAsia="Times New Roman" w:hAnsi="Garamond" w:cs="Traditional Arabic"/>
          <w:lang w:bidi="ar-EG"/>
        </w:rPr>
        <w:lastRenderedPageBreak/>
        <w:t xml:space="preserve">source from </w:t>
      </w:r>
      <w:r w:rsidRPr="008F1342">
        <w:rPr>
          <w:rFonts w:ascii="Garamond" w:eastAsia="Times New Roman" w:hAnsi="Garamond" w:cs="Traditional Arabic"/>
          <w:lang w:bidi="ar-EG"/>
        </w:rPr>
        <w:t>the Prophet</w:t>
      </w:r>
      <w:r w:rsidR="00EF3FC6" w:rsidRPr="008F1342">
        <w:rPr>
          <w:rFonts w:ascii="Garamond" w:eastAsia="Times New Roman" w:hAnsi="Garamond" w:cs="Traditional Arabic"/>
          <w:lang w:bidi="ar-EG"/>
        </w:rPr>
        <w:t xml:space="preserve"> </w:t>
      </w:r>
      <w:r w:rsidR="008F1342" w:rsidRPr="008F1342">
        <w:rPr>
          <w:rFonts w:ascii="Garamond" w:eastAsia="Times New Roman" w:hAnsi="Garamond" w:cs="Traditional Arabic"/>
          <w:lang w:bidi="ar-EG"/>
        </w:rPr>
        <w:t>Muhammad</w:t>
      </w:r>
      <w:r w:rsidRPr="008F1342">
        <w:rPr>
          <w:rFonts w:ascii="Garamond" w:eastAsia="Times New Roman" w:hAnsi="Garamond" w:cs="Traditional Arabic"/>
          <w:lang w:bidi="ar-EG"/>
        </w:rPr>
        <w:t>, especially</w:t>
      </w:r>
      <w:r w:rsidRPr="005E0A1F">
        <w:rPr>
          <w:rFonts w:ascii="Garamond" w:eastAsia="Times New Roman" w:hAnsi="Garamond" w:cs="Traditional Arabic"/>
          <w:lang w:bidi="ar-EG"/>
        </w:rPr>
        <w:t xml:space="preserve"> about </w:t>
      </w:r>
      <w:r w:rsidR="00EF3FC6" w:rsidRPr="00EF3FC6">
        <w:rPr>
          <w:rFonts w:ascii="Garamond" w:eastAsia="Times New Roman" w:hAnsi="Garamond" w:cs="Traditional Arabic"/>
          <w:lang w:bidi="ar-EG"/>
        </w:rPr>
        <w:t>faith</w:t>
      </w:r>
      <w:r w:rsidR="00EF3FC6">
        <w:rPr>
          <w:rFonts w:ascii="Garamond" w:eastAsia="Times New Roman" w:hAnsi="Garamond" w:cs="Traditional Arabic"/>
          <w:lang w:bidi="ar-EG"/>
        </w:rPr>
        <w:t xml:space="preserve"> (</w:t>
      </w:r>
      <w:proofErr w:type="spellStart"/>
      <w:r w:rsidR="00EF3FC6" w:rsidRPr="00EF3FC6">
        <w:rPr>
          <w:rFonts w:ascii="Garamond" w:eastAsia="Times New Roman" w:hAnsi="Garamond" w:cs="Traditional Arabic"/>
          <w:i/>
          <w:iCs/>
          <w:lang w:bidi="ar-EG"/>
        </w:rPr>
        <w:t>Aqīdah</w:t>
      </w:r>
      <w:proofErr w:type="spellEnd"/>
      <w:r w:rsidR="00EF3FC6">
        <w:rPr>
          <w:rFonts w:ascii="Garamond" w:eastAsia="Times New Roman" w:hAnsi="Garamond" w:cs="Traditional Arabic"/>
          <w:lang w:bidi="ar-EG"/>
        </w:rPr>
        <w:t>)</w:t>
      </w:r>
      <w:r w:rsidRPr="005E0A1F">
        <w:rPr>
          <w:rFonts w:ascii="Garamond" w:eastAsia="Times New Roman" w:hAnsi="Garamond" w:cs="Traditional Arabic"/>
          <w:lang w:bidi="ar-EG"/>
        </w:rPr>
        <w:t>, worship</w:t>
      </w:r>
      <w:r w:rsidR="00EF3FC6">
        <w:rPr>
          <w:rFonts w:ascii="Garamond" w:eastAsia="Times New Roman" w:hAnsi="Garamond" w:cs="Traditional Arabic"/>
          <w:lang w:bidi="ar-EG"/>
        </w:rPr>
        <w:t xml:space="preserve"> (</w:t>
      </w:r>
      <w:proofErr w:type="spellStart"/>
      <w:r w:rsidR="00EF3FC6" w:rsidRPr="00EF3FC6">
        <w:rPr>
          <w:rFonts w:ascii="Garamond" w:eastAsia="Times New Roman" w:hAnsi="Garamond" w:cs="Traditional Arabic"/>
          <w:i/>
          <w:iCs/>
          <w:lang w:bidi="ar-EG"/>
        </w:rPr>
        <w:t>Ibādah</w:t>
      </w:r>
      <w:proofErr w:type="spellEnd"/>
      <w:r w:rsidR="00EF3FC6">
        <w:rPr>
          <w:rFonts w:ascii="Garamond" w:eastAsia="Times New Roman" w:hAnsi="Garamond" w:cs="Traditional Arabic"/>
          <w:lang w:bidi="ar-EG"/>
        </w:rPr>
        <w:t>)</w:t>
      </w:r>
      <w:r w:rsidRPr="005E0A1F">
        <w:rPr>
          <w:rFonts w:ascii="Garamond" w:eastAsia="Times New Roman" w:hAnsi="Garamond" w:cs="Traditional Arabic"/>
          <w:lang w:bidi="ar-EG"/>
        </w:rPr>
        <w:t>, morals</w:t>
      </w:r>
      <w:r w:rsidR="00EF3FC6">
        <w:rPr>
          <w:rFonts w:ascii="Garamond" w:eastAsia="Times New Roman" w:hAnsi="Garamond" w:cs="Traditional Arabic"/>
          <w:lang w:bidi="ar-EG"/>
        </w:rPr>
        <w:t xml:space="preserve"> (</w:t>
      </w:r>
      <w:proofErr w:type="spellStart"/>
      <w:r w:rsidR="00EF3FC6" w:rsidRPr="00EF3FC6">
        <w:rPr>
          <w:rFonts w:ascii="Garamond" w:eastAsia="Times New Roman" w:hAnsi="Garamond" w:cs="Traditional Arabic"/>
          <w:i/>
          <w:iCs/>
          <w:lang w:bidi="ar-EG"/>
        </w:rPr>
        <w:t>Akhlāq</w:t>
      </w:r>
      <w:proofErr w:type="spellEnd"/>
      <w:r w:rsidR="00EF3FC6">
        <w:rPr>
          <w:rFonts w:ascii="Garamond" w:eastAsia="Times New Roman" w:hAnsi="Garamond" w:cs="Traditional Arabic"/>
          <w:lang w:bidi="ar-EG"/>
        </w:rPr>
        <w:t>)</w:t>
      </w:r>
      <w:r w:rsidRPr="005E0A1F">
        <w:rPr>
          <w:rFonts w:ascii="Garamond" w:eastAsia="Times New Roman" w:hAnsi="Garamond" w:cs="Traditional Arabic"/>
          <w:lang w:bidi="ar-EG"/>
        </w:rPr>
        <w:t xml:space="preserve">, and other matters that are among the central teachings of Islam? The meaning of the hadith itself is everything that has been attributed to the Prophet </w:t>
      </w:r>
      <w:r w:rsidR="00EF3FC6">
        <w:rPr>
          <w:rFonts w:ascii="Traditional Arabic" w:eastAsia="Times New Roman" w:hAnsi="Traditional Arabic" w:cs="Traditional Arabic"/>
          <w:rtl/>
          <w:lang w:bidi="ar-EG"/>
        </w:rPr>
        <w:t>ﷺ</w:t>
      </w:r>
      <w:r w:rsidR="00EF3FC6">
        <w:rPr>
          <w:rFonts w:ascii="Garamond" w:eastAsia="Times New Roman" w:hAnsi="Garamond" w:cs="Traditional Arabic"/>
          <w:lang w:bidi="ar-EG"/>
        </w:rPr>
        <w:t xml:space="preserve"> </w:t>
      </w:r>
      <w:r w:rsidRPr="005E0A1F">
        <w:rPr>
          <w:rFonts w:ascii="Garamond" w:eastAsia="Times New Roman" w:hAnsi="Garamond" w:cs="Traditional Arabic"/>
          <w:lang w:bidi="ar-EG"/>
        </w:rPr>
        <w:t xml:space="preserve">that can be verified as authentic. Therefore, scholars have developed a rigorous and precise methodology for determining the authenticity of hadith. So how can the authenticity of hadith be unimportant in the field of reviving the </w:t>
      </w:r>
      <w:proofErr w:type="spellStart"/>
      <w:r w:rsidRPr="005E0A1F">
        <w:rPr>
          <w:rFonts w:ascii="Garamond" w:eastAsia="Times New Roman" w:hAnsi="Garamond" w:cs="Traditional Arabic"/>
          <w:lang w:bidi="ar-EG"/>
        </w:rPr>
        <w:t>Sunnah</w:t>
      </w:r>
      <w:proofErr w:type="spellEnd"/>
      <w:r w:rsidRPr="005E0A1F">
        <w:rPr>
          <w:rFonts w:ascii="Garamond" w:eastAsia="Times New Roman" w:hAnsi="Garamond" w:cs="Traditional Arabic"/>
          <w:lang w:bidi="ar-EG"/>
        </w:rPr>
        <w:t xml:space="preserve"> in society</w:t>
      </w:r>
      <w:r w:rsidRPr="005E0A1F">
        <w:rPr>
          <w:rFonts w:ascii="Garamond" w:eastAsia="Times New Roman" w:hAnsi="Garamond" w:cs="Traditional Arabic"/>
          <w:rtl/>
          <w:lang w:bidi="ar-EG"/>
        </w:rPr>
        <w:t>?</w:t>
      </w:r>
    </w:p>
    <w:p w:rsidR="00FB14E1" w:rsidRPr="00AF74AF" w:rsidRDefault="001F79D0" w:rsidP="00AF74AF">
      <w:pPr>
        <w:ind w:firstLine="686"/>
        <w:jc w:val="both"/>
        <w:rPr>
          <w:rFonts w:ascii="Garamond" w:eastAsia="Times New Roman" w:hAnsi="Garamond" w:cs="Traditional Arabic"/>
        </w:rPr>
      </w:pPr>
      <w:r w:rsidRPr="00AF74AF">
        <w:rPr>
          <w:rFonts w:ascii="Garamond" w:eastAsia="Times New Roman" w:hAnsi="Garamond" w:cs="Traditional Arabic"/>
          <w:lang w:bidi="ar-EG"/>
        </w:rPr>
        <w:t xml:space="preserve">The </w:t>
      </w:r>
      <w:proofErr w:type="gramStart"/>
      <w:r w:rsidRPr="00AF74AF">
        <w:rPr>
          <w:rFonts w:ascii="Garamond" w:eastAsia="Times New Roman" w:hAnsi="Garamond" w:cs="Traditional Arabic"/>
          <w:lang w:bidi="ar-EG"/>
        </w:rPr>
        <w:t>argument</w:t>
      </w:r>
      <w:proofErr w:type="gramEnd"/>
      <w:r w:rsidRPr="00AF74AF">
        <w:rPr>
          <w:rFonts w:ascii="Garamond" w:eastAsia="Times New Roman" w:hAnsi="Garamond" w:cs="Traditional Arabic"/>
          <w:lang w:bidi="ar-EG"/>
        </w:rPr>
        <w:t xml:space="preserve"> on which the theory of “Living Hadith” is based, as a theory applicable in Indonesia, is influenced by Orientalists, as the authors mentioned at the beginning of the study. The basis for this is the “Living Tradition” of the previous society that shaped the concept of the noble Prophetic Hadith. This theory was developed by </w:t>
      </w:r>
      <w:proofErr w:type="spellStart"/>
      <w:r w:rsidRPr="00AF74AF">
        <w:rPr>
          <w:rFonts w:ascii="Garamond" w:eastAsia="Times New Roman" w:hAnsi="Garamond" w:cs="Traditional Arabic"/>
          <w:lang w:bidi="ar-EG"/>
        </w:rPr>
        <w:t>Josep</w:t>
      </w:r>
      <w:proofErr w:type="spellEnd"/>
      <w:r w:rsidRPr="00AF74AF">
        <w:rPr>
          <w:rFonts w:ascii="Garamond" w:eastAsia="Times New Roman" w:hAnsi="Garamond" w:cs="Traditional Arabic"/>
          <w:lang w:bidi="ar-EG"/>
        </w:rPr>
        <w:t xml:space="preserve"> Schacht, who believes that the “Living Tradition” goes back to the Prophet Muhammad (peace be upon him). The ancient traditions that originated in Islamic society can be divided into three schools of thought: the </w:t>
      </w:r>
      <w:proofErr w:type="spellStart"/>
      <w:r w:rsidRPr="00AF74AF">
        <w:rPr>
          <w:rFonts w:ascii="Garamond" w:eastAsia="Times New Roman" w:hAnsi="Garamond" w:cs="Traditional Arabic"/>
          <w:lang w:bidi="ar-EG"/>
        </w:rPr>
        <w:t>Madinah</w:t>
      </w:r>
      <w:proofErr w:type="spellEnd"/>
      <w:r w:rsidRPr="00AF74AF">
        <w:rPr>
          <w:rFonts w:ascii="Garamond" w:eastAsia="Times New Roman" w:hAnsi="Garamond" w:cs="Traditional Arabic"/>
          <w:lang w:bidi="ar-EG"/>
        </w:rPr>
        <w:t xml:space="preserve"> </w:t>
      </w:r>
      <w:proofErr w:type="gramStart"/>
      <w:r w:rsidRPr="00AF74AF">
        <w:rPr>
          <w:rFonts w:ascii="Garamond" w:eastAsia="Times New Roman" w:hAnsi="Garamond" w:cs="Traditional Arabic"/>
          <w:lang w:bidi="ar-EG"/>
        </w:rPr>
        <w:t>school</w:t>
      </w:r>
      <w:proofErr w:type="gramEnd"/>
      <w:r w:rsidRPr="00AF74AF">
        <w:rPr>
          <w:rFonts w:ascii="Garamond" w:eastAsia="Times New Roman" w:hAnsi="Garamond" w:cs="Traditional Arabic"/>
          <w:lang w:bidi="ar-EG"/>
        </w:rPr>
        <w:t xml:space="preserve">, the Iraq school, and the Syria school. For him, the formation of this tradition is due to the difficulty of applying the </w:t>
      </w:r>
      <w:proofErr w:type="spellStart"/>
      <w:r w:rsidRPr="00AF74AF">
        <w:rPr>
          <w:rFonts w:ascii="Garamond" w:eastAsia="Times New Roman" w:hAnsi="Garamond" w:cs="Traditional Arabic"/>
          <w:lang w:bidi="ar-EG"/>
        </w:rPr>
        <w:t>Sunnah</w:t>
      </w:r>
      <w:proofErr w:type="spellEnd"/>
      <w:r w:rsidRPr="00AF74AF">
        <w:rPr>
          <w:rFonts w:ascii="Garamond" w:eastAsia="Times New Roman" w:hAnsi="Garamond" w:cs="Traditional Arabic"/>
          <w:lang w:bidi="ar-EG"/>
        </w:rPr>
        <w:t xml:space="preserve"> of the Prophet</w:t>
      </w:r>
      <w:r w:rsidR="00AF74AF">
        <w:rPr>
          <w:rFonts w:ascii="Garamond" w:eastAsia="Times New Roman" w:hAnsi="Garamond" w:cs="Traditional Arabic"/>
          <w:lang w:bidi="ar-EG"/>
        </w:rPr>
        <w:t>.</w:t>
      </w:r>
      <w:r w:rsidR="00FB14E1" w:rsidRPr="00AF74AF">
        <w:rPr>
          <w:rStyle w:val="FootnoteReference"/>
          <w:rFonts w:ascii="Garamond" w:hAnsi="Garamond"/>
          <w:rtl/>
        </w:rPr>
        <w:footnoteReference w:id="90"/>
      </w:r>
      <w:r w:rsidR="00AF74AF">
        <w:rPr>
          <w:rFonts w:ascii="Garamond" w:eastAsia="Times New Roman" w:hAnsi="Garamond" w:cs="Traditional Arabic"/>
        </w:rPr>
        <w:t xml:space="preserve"> </w:t>
      </w:r>
      <w:r w:rsidR="00AF74AF" w:rsidRPr="00AF74AF">
        <w:rPr>
          <w:rFonts w:ascii="Garamond" w:eastAsia="Times New Roman" w:hAnsi="Garamond" w:cs="Traditional Arabic"/>
          <w:lang w:bidi="ar-EG"/>
        </w:rPr>
        <w:t xml:space="preserve">Therefore, the tradition of the </w:t>
      </w:r>
      <w:proofErr w:type="spellStart"/>
      <w:r w:rsidR="00AF74AF" w:rsidRPr="00AF74AF">
        <w:rPr>
          <w:rFonts w:ascii="Garamond" w:eastAsia="Times New Roman" w:hAnsi="Garamond" w:cs="Traditional Arabic"/>
          <w:lang w:bidi="ar-EG"/>
        </w:rPr>
        <w:t>Madinah</w:t>
      </w:r>
      <w:proofErr w:type="spellEnd"/>
      <w:r w:rsidR="00AF74AF" w:rsidRPr="00AF74AF">
        <w:rPr>
          <w:rFonts w:ascii="Garamond" w:eastAsia="Times New Roman" w:hAnsi="Garamond" w:cs="Traditional Arabic"/>
          <w:lang w:bidi="ar-EG"/>
        </w:rPr>
        <w:t>, for example, aims to incorporate its traditions, which suit it. However, Al-Mustafa Al-</w:t>
      </w:r>
      <w:proofErr w:type="spellStart"/>
      <w:r w:rsidR="00AF74AF" w:rsidRPr="00AF74AF">
        <w:rPr>
          <w:rFonts w:ascii="Garamond" w:eastAsia="Times New Roman" w:hAnsi="Garamond" w:cs="Traditional Arabic"/>
          <w:lang w:bidi="ar-EG"/>
        </w:rPr>
        <w:t>Azami</w:t>
      </w:r>
      <w:proofErr w:type="spellEnd"/>
      <w:r w:rsidR="00AF74AF" w:rsidRPr="00AF74AF">
        <w:rPr>
          <w:rFonts w:ascii="Garamond" w:eastAsia="Times New Roman" w:hAnsi="Garamond" w:cs="Traditional Arabic"/>
          <w:lang w:bidi="ar-EG"/>
        </w:rPr>
        <w:t xml:space="preserve"> criticized his opinion, even though there are indeed some practices of the people of </w:t>
      </w:r>
      <w:proofErr w:type="spellStart"/>
      <w:r w:rsidR="00AF74AF" w:rsidRPr="00AF74AF">
        <w:rPr>
          <w:rFonts w:ascii="Garamond" w:eastAsia="Times New Roman" w:hAnsi="Garamond" w:cs="Traditional Arabic"/>
          <w:lang w:bidi="ar-EG"/>
        </w:rPr>
        <w:t>Madinah</w:t>
      </w:r>
      <w:proofErr w:type="spellEnd"/>
      <w:r w:rsidR="00AF74AF" w:rsidRPr="00AF74AF">
        <w:rPr>
          <w:rFonts w:ascii="Garamond" w:eastAsia="Times New Roman" w:hAnsi="Garamond" w:cs="Traditional Arabic"/>
          <w:lang w:bidi="ar-EG"/>
        </w:rPr>
        <w:t xml:space="preserve"> that have become the basis applied by the Maliki school of thought. However, in reality, Imam Malik's application of the </w:t>
      </w:r>
      <w:proofErr w:type="spellStart"/>
      <w:r w:rsidR="00AF74AF" w:rsidRPr="00AF74AF">
        <w:rPr>
          <w:rFonts w:ascii="Garamond" w:eastAsia="Times New Roman" w:hAnsi="Garamond" w:cs="Traditional Arabic"/>
          <w:lang w:bidi="ar-EG"/>
        </w:rPr>
        <w:t>Sunnah</w:t>
      </w:r>
      <w:proofErr w:type="spellEnd"/>
      <w:r w:rsidR="00AF74AF" w:rsidRPr="00AF74AF">
        <w:rPr>
          <w:rFonts w:ascii="Garamond" w:eastAsia="Times New Roman" w:hAnsi="Garamond" w:cs="Traditional Arabic"/>
          <w:lang w:bidi="ar-EG"/>
        </w:rPr>
        <w:t xml:space="preserve"> does not give preference to the practices of the people of </w:t>
      </w:r>
      <w:proofErr w:type="spellStart"/>
      <w:r w:rsidR="00AF74AF" w:rsidRPr="00AF74AF">
        <w:rPr>
          <w:rFonts w:ascii="Garamond" w:eastAsia="Times New Roman" w:hAnsi="Garamond" w:cs="Traditional Arabic"/>
          <w:lang w:bidi="ar-EG"/>
        </w:rPr>
        <w:t>Madinah</w:t>
      </w:r>
      <w:proofErr w:type="spellEnd"/>
      <w:r w:rsidR="00AF74AF">
        <w:rPr>
          <w:rFonts w:ascii="Garamond" w:eastAsia="Times New Roman" w:hAnsi="Garamond" w:cs="Traditional Arabic"/>
          <w:lang w:bidi="ar-EG"/>
        </w:rPr>
        <w:t>.</w:t>
      </w:r>
      <w:r w:rsidR="00FB14E1" w:rsidRPr="00AF74AF">
        <w:rPr>
          <w:rStyle w:val="FootnoteReference"/>
          <w:rFonts w:ascii="Garamond" w:hAnsi="Garamond"/>
          <w:rtl/>
        </w:rPr>
        <w:footnoteReference w:id="91"/>
      </w:r>
    </w:p>
    <w:p w:rsidR="00E85142" w:rsidRPr="00645880" w:rsidRDefault="00D9606C" w:rsidP="00CF2502">
      <w:pPr>
        <w:ind w:firstLine="686"/>
        <w:jc w:val="both"/>
        <w:rPr>
          <w:rFonts w:ascii="Garamond" w:hAnsi="Garamond" w:cs="Traditional Arabic"/>
          <w:rtl/>
          <w:lang w:bidi="ar-EG"/>
        </w:rPr>
      </w:pPr>
      <w:r w:rsidRPr="00A84D73">
        <w:rPr>
          <w:rFonts w:ascii="Garamond" w:hAnsi="Garamond" w:cs="Traditional Arabic"/>
          <w:lang w:bidi="ar-EG"/>
        </w:rPr>
        <w:t xml:space="preserve">In fact, the emergence of Islam during the time of the Prophet brought about significant changes in the cultural system of Arab society at that time, because the Holy Quran and </w:t>
      </w:r>
      <w:proofErr w:type="spellStart"/>
      <w:r w:rsidRPr="00A84D73">
        <w:rPr>
          <w:rFonts w:ascii="Garamond" w:hAnsi="Garamond" w:cs="Traditional Arabic"/>
          <w:lang w:bidi="ar-EG"/>
        </w:rPr>
        <w:t>Sunnah</w:t>
      </w:r>
      <w:proofErr w:type="spellEnd"/>
      <w:r w:rsidRPr="00A84D73">
        <w:rPr>
          <w:rFonts w:ascii="Garamond" w:hAnsi="Garamond" w:cs="Traditional Arabic"/>
          <w:lang w:bidi="ar-EG"/>
        </w:rPr>
        <w:t xml:space="preserve"> established a new civilization known as Islamic civilization, which included faith, sharia, and morals</w:t>
      </w:r>
      <w:r w:rsidR="007A1654">
        <w:rPr>
          <w:rFonts w:ascii="Garamond" w:hAnsi="Garamond" w:cs="Traditional Arabic"/>
          <w:lang w:bidi="ar-EG"/>
        </w:rPr>
        <w:t xml:space="preserve">. </w:t>
      </w:r>
      <w:r w:rsidR="009C06EC" w:rsidRPr="00A84D73">
        <w:rPr>
          <w:rFonts w:ascii="Garamond" w:hAnsi="Garamond" w:cs="Traditional Arabic"/>
          <w:lang w:bidi="ar-EG"/>
        </w:rPr>
        <w:t xml:space="preserve">In the narration of Abdullah </w:t>
      </w:r>
      <w:proofErr w:type="spellStart"/>
      <w:r w:rsidR="009C06EC" w:rsidRPr="00A84D73">
        <w:rPr>
          <w:rFonts w:ascii="Garamond" w:hAnsi="Garamond" w:cs="Traditional Arabic"/>
          <w:lang w:bidi="ar-EG"/>
        </w:rPr>
        <w:t>ibn</w:t>
      </w:r>
      <w:proofErr w:type="spellEnd"/>
      <w:r w:rsidR="009C06EC" w:rsidRPr="00A84D73">
        <w:rPr>
          <w:rFonts w:ascii="Garamond" w:hAnsi="Garamond" w:cs="Traditional Arabic"/>
          <w:lang w:bidi="ar-EG"/>
        </w:rPr>
        <w:t xml:space="preserve"> Umar, for example, he said: "I heard </w:t>
      </w:r>
      <w:proofErr w:type="spellStart"/>
      <w:r w:rsidR="009C06EC" w:rsidRPr="00A84D73">
        <w:rPr>
          <w:rFonts w:ascii="Garamond" w:hAnsi="Garamond" w:cs="Traditional Arabic"/>
          <w:lang w:bidi="ar-EG"/>
        </w:rPr>
        <w:t>Ibn</w:t>
      </w:r>
      <w:proofErr w:type="spellEnd"/>
      <w:r w:rsidR="009C06EC" w:rsidRPr="00A84D73">
        <w:rPr>
          <w:rFonts w:ascii="Garamond" w:hAnsi="Garamond" w:cs="Traditional Arabic"/>
          <w:lang w:bidi="ar-EG"/>
        </w:rPr>
        <w:t xml:space="preserve"> Umar say: 'We used to communicate and saw no harm in it, until we heard Rafi' </w:t>
      </w:r>
      <w:proofErr w:type="spellStart"/>
      <w:r w:rsidR="009C06EC" w:rsidRPr="00A84D73">
        <w:rPr>
          <w:rFonts w:ascii="Garamond" w:hAnsi="Garamond" w:cs="Traditional Arabic"/>
          <w:lang w:bidi="ar-EG"/>
        </w:rPr>
        <w:t>ibn</w:t>
      </w:r>
      <w:proofErr w:type="spellEnd"/>
      <w:r w:rsidR="009C06EC" w:rsidRPr="00A84D73">
        <w:rPr>
          <w:rFonts w:ascii="Garamond" w:hAnsi="Garamond" w:cs="Traditional Arabic"/>
          <w:lang w:bidi="ar-EG"/>
        </w:rPr>
        <w:t xml:space="preserve"> </w:t>
      </w:r>
      <w:proofErr w:type="spellStart"/>
      <w:r w:rsidR="009C06EC" w:rsidRPr="00A84D73">
        <w:rPr>
          <w:rFonts w:ascii="Garamond" w:hAnsi="Garamond" w:cs="Traditional Arabic"/>
          <w:lang w:bidi="ar-EG"/>
        </w:rPr>
        <w:t>Khadij</w:t>
      </w:r>
      <w:proofErr w:type="spellEnd"/>
      <w:r w:rsidR="009C06EC" w:rsidRPr="00A84D73">
        <w:rPr>
          <w:rFonts w:ascii="Garamond" w:hAnsi="Garamond" w:cs="Traditional Arabic"/>
          <w:lang w:bidi="ar-EG"/>
        </w:rPr>
        <w:t xml:space="preserve"> </w:t>
      </w:r>
      <w:proofErr w:type="gramStart"/>
      <w:r w:rsidR="009C06EC" w:rsidRPr="00A84D73">
        <w:rPr>
          <w:rFonts w:ascii="Garamond" w:hAnsi="Garamond" w:cs="Traditional Arabic"/>
          <w:lang w:bidi="ar-EG"/>
        </w:rPr>
        <w:t>say</w:t>
      </w:r>
      <w:proofErr w:type="gramEnd"/>
      <w:r w:rsidR="009C06EC" w:rsidRPr="00A84D73">
        <w:rPr>
          <w:rFonts w:ascii="Garamond" w:hAnsi="Garamond" w:cs="Traditional Arabic"/>
          <w:lang w:bidi="ar-EG"/>
        </w:rPr>
        <w:t xml:space="preserve">: </w:t>
      </w:r>
      <w:r w:rsidR="008F1342">
        <w:rPr>
          <w:rFonts w:ascii="Garamond" w:hAnsi="Garamond" w:cs="Traditional Arabic"/>
          <w:lang w:bidi="ar-EG"/>
        </w:rPr>
        <w:t>“</w:t>
      </w:r>
      <w:r w:rsidR="009C06EC" w:rsidRPr="00A84D73">
        <w:rPr>
          <w:rFonts w:ascii="Garamond" w:hAnsi="Garamond" w:cs="Traditional Arabic"/>
          <w:lang w:bidi="ar-EG"/>
        </w:rPr>
        <w:t>The Messenger of Allah</w:t>
      </w:r>
      <w:r w:rsidR="009C06EC" w:rsidRPr="00A84D73">
        <w:rPr>
          <w:rFonts w:ascii="Garamond" w:hAnsi="Garamond" w:cs="Traditional Arabic"/>
          <w:rtl/>
          <w:lang w:bidi="ar-EG"/>
        </w:rPr>
        <w:t xml:space="preserve"> ﷺ </w:t>
      </w:r>
      <w:r w:rsidR="008F1342">
        <w:rPr>
          <w:rFonts w:ascii="Garamond" w:hAnsi="Garamond" w:cs="Traditional Arabic"/>
          <w:lang w:bidi="ar-EG"/>
        </w:rPr>
        <w:t>forbade it,</w:t>
      </w:r>
      <w:r w:rsidR="009C06EC" w:rsidRPr="00A84D73">
        <w:rPr>
          <w:rFonts w:ascii="Garamond" w:hAnsi="Garamond" w:cs="Traditional Arabic"/>
          <w:lang w:bidi="ar-EG"/>
        </w:rPr>
        <w:t xml:space="preserve"> so we stopped doing it because of his statement</w:t>
      </w:r>
      <w:r w:rsidR="00E85142">
        <w:rPr>
          <w:rFonts w:ascii="Garamond" w:hAnsi="Garamond" w:cs="Traditional Arabic"/>
          <w:lang w:bidi="ar-EG"/>
        </w:rPr>
        <w:t>.</w:t>
      </w:r>
      <w:r w:rsidR="00FB14E1" w:rsidRPr="00A84D73">
        <w:rPr>
          <w:rStyle w:val="FootnoteReference"/>
          <w:rFonts w:ascii="Garamond" w:hAnsi="Garamond"/>
          <w:rtl/>
        </w:rPr>
        <w:footnoteReference w:id="92"/>
      </w:r>
      <w:r w:rsidR="00E85142">
        <w:rPr>
          <w:rFonts w:ascii="Garamond" w:hAnsi="Garamond" w:cs="Traditional Arabic"/>
          <w:lang w:bidi="ar-EG"/>
        </w:rPr>
        <w:t xml:space="preserve"> </w:t>
      </w:r>
      <w:r w:rsidR="00A84D73">
        <w:rPr>
          <w:rFonts w:ascii="Garamond" w:hAnsi="Garamond" w:cs="Traditional Arabic"/>
          <w:lang w:bidi="ar-EG"/>
        </w:rPr>
        <w:t>A</w:t>
      </w:r>
      <w:r w:rsidR="00A84D73" w:rsidRPr="00A84D73">
        <w:rPr>
          <w:rFonts w:ascii="Garamond" w:hAnsi="Garamond" w:cs="Traditional Arabic"/>
          <w:lang w:bidi="ar-EG"/>
        </w:rPr>
        <w:t>nother narration mentioned</w:t>
      </w:r>
      <w:r w:rsidR="00A84D73">
        <w:rPr>
          <w:rFonts w:ascii="Garamond" w:hAnsi="Garamond" w:cs="Traditional Arabic"/>
          <w:lang w:bidi="ar-EG"/>
        </w:rPr>
        <w:t xml:space="preserve">: </w:t>
      </w:r>
      <w:r w:rsidR="008F1342">
        <w:rPr>
          <w:rFonts w:ascii="Garamond" w:hAnsi="Garamond" w:cs="Traditional Arabic"/>
          <w:lang w:bidi="ar-EG"/>
        </w:rPr>
        <w:t>“</w:t>
      </w:r>
      <w:r w:rsidR="00A84D73" w:rsidRPr="00A84D73">
        <w:rPr>
          <w:rFonts w:ascii="Garamond" w:hAnsi="Garamond" w:cs="Traditional Arabic"/>
          <w:lang w:bidi="ar-EG"/>
        </w:rPr>
        <w:t xml:space="preserve">The </w:t>
      </w:r>
      <w:proofErr w:type="spellStart"/>
      <w:r w:rsidR="00A84D73" w:rsidRPr="00A84D73">
        <w:rPr>
          <w:rFonts w:ascii="Garamond" w:hAnsi="Garamond" w:cs="Traditional Arabic"/>
          <w:lang w:bidi="ar-EG"/>
        </w:rPr>
        <w:t>Sunna</w:t>
      </w:r>
      <w:r w:rsidR="00A84D73">
        <w:rPr>
          <w:rFonts w:ascii="Garamond" w:hAnsi="Garamond" w:cs="Traditional Arabic"/>
          <w:lang w:bidi="ar-EG"/>
        </w:rPr>
        <w:t>h</w:t>
      </w:r>
      <w:proofErr w:type="spellEnd"/>
      <w:r w:rsidR="00A84D73">
        <w:rPr>
          <w:rFonts w:ascii="Garamond" w:hAnsi="Garamond" w:cs="Traditional Arabic"/>
          <w:lang w:bidi="ar-EG"/>
        </w:rPr>
        <w:t xml:space="preserve"> is the foundation of religion”.</w:t>
      </w:r>
      <w:r w:rsidR="00FB14E1" w:rsidRPr="00CB384D">
        <w:rPr>
          <w:rStyle w:val="FootnoteReference"/>
          <w:rtl/>
        </w:rPr>
        <w:footnoteReference w:id="93"/>
      </w:r>
      <w:r w:rsidR="00E85142">
        <w:rPr>
          <w:rFonts w:ascii="Garamond" w:hAnsi="Garamond" w:cs="Traditional Arabic"/>
          <w:lang w:bidi="ar-EG"/>
        </w:rPr>
        <w:t xml:space="preserve"> </w:t>
      </w:r>
      <w:r w:rsidR="00E85142" w:rsidRPr="00E85142">
        <w:rPr>
          <w:rFonts w:ascii="Garamond" w:hAnsi="Garamond" w:cs="Traditional Arabic"/>
          <w:lang w:bidi="ar-EG"/>
        </w:rPr>
        <w:t xml:space="preserve">Another narration from </w:t>
      </w:r>
      <w:proofErr w:type="spellStart"/>
      <w:r w:rsidR="00E85142" w:rsidRPr="00E85142">
        <w:rPr>
          <w:rFonts w:ascii="Garamond" w:hAnsi="Garamond" w:cs="Traditional Arabic"/>
          <w:lang w:bidi="ar-EG"/>
        </w:rPr>
        <w:t>Hisyam</w:t>
      </w:r>
      <w:proofErr w:type="spellEnd"/>
      <w:r w:rsidR="00E85142" w:rsidRPr="00E85142">
        <w:rPr>
          <w:rFonts w:ascii="Garamond" w:hAnsi="Garamond" w:cs="Traditional Arabic"/>
          <w:lang w:bidi="ar-EG"/>
        </w:rPr>
        <w:t xml:space="preserve"> bin '</w:t>
      </w:r>
      <w:proofErr w:type="spellStart"/>
      <w:r w:rsidR="00E85142" w:rsidRPr="00E85142">
        <w:rPr>
          <w:rFonts w:ascii="Garamond" w:hAnsi="Garamond" w:cs="Traditional Arabic"/>
          <w:lang w:bidi="ar-EG"/>
        </w:rPr>
        <w:t>Arwah</w:t>
      </w:r>
      <w:proofErr w:type="spellEnd"/>
      <w:r w:rsidR="00E85142" w:rsidRPr="00E85142">
        <w:rPr>
          <w:rFonts w:ascii="Garamond" w:hAnsi="Garamond" w:cs="Traditional Arabic"/>
          <w:lang w:bidi="ar-EG"/>
        </w:rPr>
        <w:t xml:space="preserve"> that he heard from his father:</w:t>
      </w:r>
      <w:r w:rsidR="00E85142">
        <w:rPr>
          <w:rFonts w:ascii="Garamond" w:hAnsi="Garamond" w:cs="Traditional Arabic"/>
          <w:lang w:bidi="ar-EG"/>
        </w:rPr>
        <w:t xml:space="preserve"> “</w:t>
      </w:r>
      <w:r w:rsidR="00E85142" w:rsidRPr="00E85142">
        <w:rPr>
          <w:rFonts w:ascii="Garamond" w:hAnsi="Garamond" w:cs="Traditional Arabic"/>
          <w:lang w:bidi="ar-EG"/>
        </w:rPr>
        <w:t xml:space="preserve">Following the </w:t>
      </w:r>
      <w:proofErr w:type="spellStart"/>
      <w:r w:rsidR="00E85142" w:rsidRPr="00E85142">
        <w:rPr>
          <w:rFonts w:ascii="Garamond" w:hAnsi="Garamond" w:cs="Traditional Arabic"/>
          <w:lang w:bidi="ar-EG"/>
        </w:rPr>
        <w:t>Sunna</w:t>
      </w:r>
      <w:r w:rsidR="00E85142">
        <w:rPr>
          <w:rFonts w:ascii="Garamond" w:hAnsi="Garamond" w:cs="Traditional Arabic"/>
          <w:lang w:bidi="ar-EG"/>
        </w:rPr>
        <w:t>h</w:t>
      </w:r>
      <w:proofErr w:type="spellEnd"/>
      <w:r w:rsidR="00E85142">
        <w:rPr>
          <w:rFonts w:ascii="Garamond" w:hAnsi="Garamond" w:cs="Traditional Arabic"/>
          <w:lang w:bidi="ar-EG"/>
        </w:rPr>
        <w:t xml:space="preserve"> is the foundation of religion (</w:t>
      </w:r>
      <w:proofErr w:type="spellStart"/>
      <w:r w:rsidR="00E85142" w:rsidRPr="00E85142">
        <w:rPr>
          <w:rFonts w:ascii="Garamond" w:hAnsi="Garamond" w:cs="Traditional Arabic"/>
          <w:i/>
          <w:iCs/>
          <w:lang w:bidi="ar-EG"/>
        </w:rPr>
        <w:t>Itbā</w:t>
      </w:r>
      <w:proofErr w:type="spellEnd"/>
      <w:r w:rsidR="00E85142" w:rsidRPr="00E85142">
        <w:rPr>
          <w:rFonts w:ascii="Garamond" w:hAnsi="Garamond" w:cs="Traditional Arabic"/>
          <w:i/>
          <w:iCs/>
          <w:lang w:bidi="ar-EG"/>
        </w:rPr>
        <w:t>’ an-</w:t>
      </w:r>
      <w:proofErr w:type="spellStart"/>
      <w:r w:rsidR="00E85142" w:rsidRPr="00E85142">
        <w:rPr>
          <w:rFonts w:ascii="Garamond" w:hAnsi="Garamond" w:cs="Traditional Arabic"/>
          <w:i/>
          <w:iCs/>
          <w:lang w:bidi="ar-EG"/>
        </w:rPr>
        <w:t>Sunnah</w:t>
      </w:r>
      <w:proofErr w:type="spellEnd"/>
      <w:r w:rsidR="00E85142" w:rsidRPr="00E85142">
        <w:rPr>
          <w:rFonts w:ascii="Garamond" w:hAnsi="Garamond" w:cs="Traditional Arabic"/>
          <w:i/>
          <w:iCs/>
          <w:lang w:bidi="ar-EG"/>
        </w:rPr>
        <w:t xml:space="preserve"> </w:t>
      </w:r>
      <w:proofErr w:type="spellStart"/>
      <w:r w:rsidR="00E85142" w:rsidRPr="00E85142">
        <w:rPr>
          <w:rFonts w:ascii="Garamond" w:hAnsi="Garamond" w:cs="Traditional Arabic"/>
          <w:i/>
          <w:iCs/>
          <w:lang w:bidi="ar-EG"/>
        </w:rPr>
        <w:t>Qawāmu</w:t>
      </w:r>
      <w:proofErr w:type="spellEnd"/>
      <w:r w:rsidR="00E85142" w:rsidRPr="00E85142">
        <w:rPr>
          <w:rFonts w:ascii="Garamond" w:hAnsi="Garamond" w:cs="Traditional Arabic"/>
          <w:i/>
          <w:iCs/>
          <w:lang w:bidi="ar-EG"/>
        </w:rPr>
        <w:t xml:space="preserve"> ad-</w:t>
      </w:r>
      <w:proofErr w:type="spellStart"/>
      <w:r w:rsidR="00E85142" w:rsidRPr="00E85142">
        <w:rPr>
          <w:rFonts w:ascii="Garamond" w:hAnsi="Garamond" w:cs="Traditional Arabic"/>
          <w:i/>
          <w:iCs/>
          <w:lang w:bidi="ar-EG"/>
        </w:rPr>
        <w:t>Dīn</w:t>
      </w:r>
      <w:proofErr w:type="spellEnd"/>
      <w:r w:rsidR="00E85142">
        <w:rPr>
          <w:rFonts w:ascii="Garamond" w:hAnsi="Garamond" w:cs="Traditional Arabic"/>
          <w:lang w:bidi="ar-EG"/>
        </w:rPr>
        <w:t>)”.</w:t>
      </w:r>
      <w:r w:rsidR="00FB14E1" w:rsidRPr="00E85142">
        <w:rPr>
          <w:rStyle w:val="FootnoteReference"/>
          <w:rFonts w:ascii="Garamond" w:hAnsi="Garamond"/>
          <w:rtl/>
        </w:rPr>
        <w:footnoteReference w:id="94"/>
      </w:r>
      <w:r w:rsidR="00E85142">
        <w:rPr>
          <w:rFonts w:ascii="Garamond" w:hAnsi="Garamond" w:cs="Traditional Arabic"/>
        </w:rPr>
        <w:t xml:space="preserve"> </w:t>
      </w:r>
      <w:r w:rsidR="00E85142" w:rsidRPr="00E85142">
        <w:rPr>
          <w:rFonts w:ascii="Garamond" w:hAnsi="Garamond" w:cs="Traditional Arabic"/>
          <w:lang w:bidi="ar-EG"/>
        </w:rPr>
        <w:t xml:space="preserve">In the Narrative, it is said that Umar </w:t>
      </w:r>
      <w:proofErr w:type="spellStart"/>
      <w:r w:rsidR="00E85142" w:rsidRPr="00E85142">
        <w:rPr>
          <w:rFonts w:ascii="Garamond" w:hAnsi="Garamond" w:cs="Traditional Arabic"/>
          <w:lang w:bidi="ar-EG"/>
        </w:rPr>
        <w:t>ibn</w:t>
      </w:r>
      <w:proofErr w:type="spellEnd"/>
      <w:r w:rsidR="00E85142" w:rsidRPr="00E85142">
        <w:rPr>
          <w:rFonts w:ascii="Garamond" w:hAnsi="Garamond" w:cs="Traditional Arabic"/>
          <w:lang w:bidi="ar-EG"/>
        </w:rPr>
        <w:t xml:space="preserve"> </w:t>
      </w:r>
      <w:proofErr w:type="spellStart"/>
      <w:r w:rsidR="00E85142" w:rsidRPr="00E85142">
        <w:rPr>
          <w:rFonts w:ascii="Garamond" w:hAnsi="Garamond" w:cs="Traditional Arabic"/>
          <w:lang w:bidi="ar-EG"/>
        </w:rPr>
        <w:t>Abd</w:t>
      </w:r>
      <w:proofErr w:type="spellEnd"/>
      <w:r w:rsidR="00E85142" w:rsidRPr="00E85142">
        <w:rPr>
          <w:rFonts w:ascii="Garamond" w:hAnsi="Garamond" w:cs="Traditional Arabic"/>
          <w:lang w:bidi="ar-EG"/>
        </w:rPr>
        <w:t xml:space="preserve"> al-Aziz wrote to the people, “No one has any opinion except that which is in accordance with the </w:t>
      </w:r>
      <w:proofErr w:type="spellStart"/>
      <w:r w:rsidR="00E85142" w:rsidRPr="00E85142">
        <w:rPr>
          <w:rFonts w:ascii="Garamond" w:hAnsi="Garamond" w:cs="Traditional Arabic"/>
          <w:lang w:bidi="ar-EG"/>
        </w:rPr>
        <w:t>Sunnah</w:t>
      </w:r>
      <w:proofErr w:type="spellEnd"/>
      <w:r w:rsidR="00E85142" w:rsidRPr="00E85142">
        <w:rPr>
          <w:rFonts w:ascii="Garamond" w:hAnsi="Garamond" w:cs="Traditional Arabic"/>
          <w:lang w:bidi="ar-EG"/>
        </w:rPr>
        <w:t xml:space="preserve"> of the Messenger of Allah</w:t>
      </w:r>
      <w:r w:rsidR="00CF2502">
        <w:rPr>
          <w:rFonts w:ascii="Garamond" w:hAnsi="Garamond" w:cs="Traditional Arabic"/>
          <w:lang w:bidi="ar-EG"/>
        </w:rPr>
        <w:t>”.</w:t>
      </w:r>
      <w:r w:rsidR="00FB14E1" w:rsidRPr="00E85142">
        <w:rPr>
          <w:rStyle w:val="FootnoteReference"/>
          <w:rFonts w:ascii="Garamond" w:hAnsi="Garamond"/>
          <w:rtl/>
        </w:rPr>
        <w:footnoteReference w:id="95"/>
      </w:r>
      <w:r w:rsidR="00FB14E1" w:rsidRPr="00E85142">
        <w:rPr>
          <w:rFonts w:ascii="Garamond" w:hAnsi="Garamond" w:cs="Traditional Arabic"/>
          <w:rtl/>
          <w:lang w:bidi="ar-EG"/>
        </w:rPr>
        <w:t xml:space="preserve"> </w:t>
      </w:r>
      <w:r w:rsidR="00E85142" w:rsidRPr="00E85142">
        <w:rPr>
          <w:rFonts w:ascii="Garamond" w:hAnsi="Garamond" w:cs="Traditional Arabic"/>
          <w:lang w:bidi="ar-EG"/>
        </w:rPr>
        <w:t xml:space="preserve">Therefore, following the </w:t>
      </w:r>
      <w:proofErr w:type="spellStart"/>
      <w:r w:rsidR="00E85142">
        <w:rPr>
          <w:rFonts w:ascii="Garamond" w:hAnsi="Garamond" w:cs="Traditional Arabic"/>
          <w:lang w:bidi="ar-EG"/>
        </w:rPr>
        <w:t>S</w:t>
      </w:r>
      <w:r w:rsidR="00E85142" w:rsidRPr="00E85142">
        <w:rPr>
          <w:rFonts w:ascii="Garamond" w:hAnsi="Garamond" w:cs="Traditional Arabic"/>
          <w:lang w:bidi="ar-EG"/>
        </w:rPr>
        <w:t>unnah</w:t>
      </w:r>
      <w:proofErr w:type="spellEnd"/>
      <w:r w:rsidR="00E85142" w:rsidRPr="00E85142">
        <w:rPr>
          <w:rFonts w:ascii="Garamond" w:hAnsi="Garamond" w:cs="Traditional Arabic"/>
          <w:lang w:bidi="ar-EG"/>
        </w:rPr>
        <w:t xml:space="preserve"> of the Prophet is part of obeying religious commands. For this reason, it is necessary to base all religious actions on authentic sources.</w:t>
      </w:r>
    </w:p>
    <w:p w:rsidR="00FB14E1" w:rsidRDefault="00645880" w:rsidP="007A1654">
      <w:pPr>
        <w:ind w:firstLine="720"/>
        <w:jc w:val="both"/>
        <w:rPr>
          <w:rFonts w:ascii="Garamond" w:hAnsi="Garamond" w:cs="Traditional Arabic"/>
          <w:lang w:bidi="ar-EG"/>
        </w:rPr>
      </w:pPr>
      <w:r w:rsidRPr="00645880">
        <w:rPr>
          <w:rFonts w:ascii="Garamond" w:hAnsi="Garamond" w:cs="Traditional Arabic"/>
          <w:lang w:bidi="ar-EG"/>
        </w:rPr>
        <w:t xml:space="preserve">Therefore, from the above evidence, it is clear that the nature of the hadith is important, so that people should not be lenient in understanding it without basis. Sometimes there are individuals in society who are superficial in their thinking, who do not know or understand the truth of the commands of Allah and His Messenger, which leads them to drift towards strange ideas. This is the case in Indonesia, where customs that have become part of Indonesian Islamic traditions are not the result of the work of scholars who </w:t>
      </w:r>
      <w:r w:rsidRPr="00645880">
        <w:rPr>
          <w:rFonts w:ascii="Garamond" w:hAnsi="Garamond" w:cs="Traditional Arabic"/>
          <w:lang w:bidi="ar-EG"/>
        </w:rPr>
        <w:lastRenderedPageBreak/>
        <w:t>understand the essence of Islam, but rather the result of the culture or movements of people who do not understand religion correctly. Therefore, the researcher believes that this is a very serious matter. This leads to the promotion of intolerance, rather than sincerity in working for the sake of Allah. This can be observed through the prevailing phenomenon in Indonesian Islamic society</w:t>
      </w:r>
      <w:r>
        <w:rPr>
          <w:rFonts w:ascii="Garamond" w:hAnsi="Garamond" w:cs="Traditional Arabic"/>
          <w:lang w:bidi="ar-EG"/>
        </w:rPr>
        <w:t xml:space="preserve">. </w:t>
      </w:r>
      <w:r w:rsidRPr="00645880">
        <w:rPr>
          <w:rFonts w:ascii="Garamond" w:hAnsi="Garamond" w:cs="Traditional Arabic"/>
          <w:lang w:bidi="ar-EG"/>
        </w:rPr>
        <w:t xml:space="preserve">However, when traditions do not conform to the commands of Allah in the Holy Qur'an, the </w:t>
      </w:r>
      <w:proofErr w:type="spellStart"/>
      <w:r w:rsidRPr="00645880">
        <w:rPr>
          <w:rFonts w:ascii="Garamond" w:hAnsi="Garamond" w:cs="Traditional Arabic"/>
          <w:lang w:bidi="ar-EG"/>
        </w:rPr>
        <w:t>Sunnah</w:t>
      </w:r>
      <w:proofErr w:type="spellEnd"/>
      <w:r w:rsidRPr="00645880">
        <w:rPr>
          <w:rFonts w:ascii="Garamond" w:hAnsi="Garamond" w:cs="Traditional Arabic"/>
          <w:lang w:bidi="ar-EG"/>
        </w:rPr>
        <w:t xml:space="preserve"> of the Prophet, or the guidance of scholars who understand Sharia law, they argue that what happened in the past was done by their ancestors, and that traditions should not be criticized because they are part of their culture.</w:t>
      </w:r>
      <w:r w:rsidR="007A1654">
        <w:rPr>
          <w:rFonts w:ascii="Garamond" w:hAnsi="Garamond" w:cs="Traditional Arabic"/>
          <w:lang w:bidi="ar-EG"/>
        </w:rPr>
        <w:t xml:space="preserve"> </w:t>
      </w:r>
    </w:p>
    <w:p w:rsidR="007A1654" w:rsidRPr="007A1654" w:rsidRDefault="007A1654" w:rsidP="007A1654">
      <w:pPr>
        <w:ind w:firstLine="720"/>
        <w:jc w:val="both"/>
        <w:rPr>
          <w:rFonts w:ascii="Garamond" w:hAnsi="Garamond" w:cs="Traditional Arabic"/>
          <w:lang w:bidi="ar-EG"/>
        </w:rPr>
      </w:pPr>
    </w:p>
    <w:p w:rsidR="007A1654" w:rsidRPr="007A1654" w:rsidRDefault="007A1654" w:rsidP="007A1654">
      <w:pPr>
        <w:jc w:val="both"/>
        <w:rPr>
          <w:rFonts w:ascii="Garamond" w:hAnsi="Garamond" w:cs="Traditional Arabic"/>
          <w:b/>
          <w:bCs/>
          <w:lang w:bidi="ar-EG"/>
        </w:rPr>
      </w:pPr>
      <w:r w:rsidRPr="007A1654">
        <w:rPr>
          <w:rFonts w:ascii="Garamond" w:hAnsi="Garamond" w:cs="Traditional Arabic"/>
          <w:b/>
          <w:bCs/>
          <w:lang w:bidi="ar-EG"/>
        </w:rPr>
        <w:t>Conclusion</w:t>
      </w:r>
    </w:p>
    <w:p w:rsidR="007A35F3" w:rsidRDefault="003E6F88" w:rsidP="005C31FD">
      <w:pPr>
        <w:ind w:firstLine="720"/>
        <w:jc w:val="both"/>
        <w:rPr>
          <w:rFonts w:ascii="Garamond" w:hAnsi="Garamond" w:cs="Traditional Arabic"/>
          <w:lang w:bidi="ar-EG"/>
        </w:rPr>
      </w:pPr>
      <w:r w:rsidRPr="003E6F88">
        <w:rPr>
          <w:rFonts w:ascii="Garamond" w:hAnsi="Garamond" w:cs="Traditional Arabic"/>
          <w:lang w:bidi="ar-EG"/>
        </w:rPr>
        <w:t xml:space="preserve">In this study, the Living Hadith approach, which came up in the context of modern hadith studies in Indonesia, is seen as a shift in how the Prophetic </w:t>
      </w:r>
      <w:proofErr w:type="spellStart"/>
      <w:r w:rsidRPr="003E6F88">
        <w:rPr>
          <w:rFonts w:ascii="Garamond" w:hAnsi="Garamond" w:cs="Traditional Arabic"/>
          <w:lang w:bidi="ar-EG"/>
        </w:rPr>
        <w:t>Sunnah</w:t>
      </w:r>
      <w:proofErr w:type="spellEnd"/>
      <w:r w:rsidRPr="003E6F88">
        <w:rPr>
          <w:rFonts w:ascii="Garamond" w:hAnsi="Garamond" w:cs="Traditional Arabic"/>
          <w:lang w:bidi="ar-EG"/>
        </w:rPr>
        <w:t xml:space="preserve"> is approached, moving the focus from the text to human </w:t>
      </w:r>
      <w:r>
        <w:rPr>
          <w:rFonts w:ascii="Garamond" w:hAnsi="Garamond" w:cs="Traditional Arabic"/>
          <w:lang w:bidi="ar-EG"/>
        </w:rPr>
        <w:t>(</w:t>
      </w:r>
      <w:r w:rsidRPr="003E6F88">
        <w:rPr>
          <w:rFonts w:ascii="Garamond" w:hAnsi="Garamond" w:cs="Traditional Arabic"/>
          <w:lang w:bidi="ar-EG"/>
        </w:rPr>
        <w:t>sociocultural</w:t>
      </w:r>
      <w:r>
        <w:rPr>
          <w:rFonts w:ascii="Garamond" w:hAnsi="Garamond" w:cs="Traditional Arabic"/>
          <w:lang w:bidi="ar-EG"/>
        </w:rPr>
        <w:t xml:space="preserve">) </w:t>
      </w:r>
      <w:r w:rsidRPr="003E6F88">
        <w:rPr>
          <w:rFonts w:ascii="Garamond" w:hAnsi="Garamond" w:cs="Traditional Arabic"/>
          <w:lang w:bidi="ar-EG"/>
        </w:rPr>
        <w:t>practice, and from the chain of transmission to the cultural phenomenon. This perspective initially emerged as an attempt to read the prophetic hadith through the lens of social reality. However, a deeper look reveals methodological problems related to transgressing the scientific controls adopted in the science of hadith, especially about the authenticity and validity of texts, and the dangers of mixing worldly customs and traditions with Islamic legislation. As the study showed, this approach was influenced by Western hermeneutic, phenomenological, and anthropological approaches, leading to the emergence of trends that glorify culture at the expense of the text and elevate collective experience above prophetic revelation. Therefore, the biggest challenge for Hadith studies is to maintain its authenticity and authority under pressure to contextualize methodology with socio-cultural changes.</w:t>
      </w:r>
    </w:p>
    <w:p w:rsidR="007A35F3" w:rsidRDefault="007A35F3" w:rsidP="001A3D02">
      <w:pPr>
        <w:jc w:val="both"/>
        <w:rPr>
          <w:rFonts w:ascii="Garamond" w:hAnsi="Garamond" w:cs="Traditional Arabic"/>
          <w:lang w:bidi="ar-EG"/>
        </w:rPr>
      </w:pPr>
    </w:p>
    <w:p w:rsidR="003E6F88" w:rsidRDefault="003E6F88" w:rsidP="001A3D02">
      <w:pPr>
        <w:jc w:val="both"/>
        <w:rPr>
          <w:rFonts w:ascii="Garamond" w:hAnsi="Garamond" w:cs="Traditional Arabic"/>
          <w:lang w:bidi="ar-EG"/>
        </w:rPr>
      </w:pPr>
    </w:p>
    <w:p w:rsidR="007A1654" w:rsidRPr="007A1654" w:rsidRDefault="007A1654" w:rsidP="007A1654">
      <w:pPr>
        <w:jc w:val="both"/>
        <w:rPr>
          <w:rFonts w:ascii="Garamond" w:hAnsi="Garamond" w:cs="Traditional Arabic"/>
          <w:lang w:bidi="ar-EG"/>
        </w:rPr>
      </w:pPr>
    </w:p>
    <w:p w:rsidR="00FB14E1" w:rsidRDefault="007A1654" w:rsidP="00FB14E1">
      <w:pPr>
        <w:jc w:val="both"/>
        <w:rPr>
          <w:rFonts w:ascii="Garamond" w:hAnsi="Garamond" w:cs="Traditional Arabic"/>
          <w:b/>
          <w:bCs/>
          <w:lang w:bidi="ar-EG"/>
        </w:rPr>
      </w:pPr>
      <w:r w:rsidRPr="007A1654">
        <w:rPr>
          <w:rFonts w:ascii="Garamond" w:hAnsi="Garamond" w:cs="Traditional Arabic"/>
          <w:b/>
          <w:bCs/>
          <w:lang w:bidi="ar-EG"/>
        </w:rPr>
        <w:t>References</w:t>
      </w:r>
    </w:p>
    <w:p w:rsidR="003E6F88" w:rsidRPr="007A1654" w:rsidRDefault="003E6F88" w:rsidP="00FB14E1">
      <w:pPr>
        <w:jc w:val="both"/>
        <w:rPr>
          <w:rFonts w:ascii="Garamond" w:hAnsi="Garamond" w:cs="Traditional Arabic"/>
          <w:lang w:bidi="ar-EG"/>
        </w:rPr>
      </w:pPr>
    </w:p>
    <w:bookmarkStart w:id="11" w:name="_GoBack"/>
    <w:p w:rsidR="00FB14E1" w:rsidRPr="00366D0D" w:rsidRDefault="00FB14E1" w:rsidP="00FB14E1">
      <w:pPr>
        <w:pStyle w:val="Bibliography"/>
        <w:jc w:val="both"/>
        <w:rPr>
          <w:rFonts w:ascii="Garamond" w:hAnsi="Garamond" w:cstheme="majorBidi"/>
        </w:rPr>
      </w:pPr>
      <w:r w:rsidRPr="00366D0D">
        <w:rPr>
          <w:rFonts w:ascii="Garamond" w:hAnsi="Garamond" w:cstheme="majorBidi"/>
          <w:rtl/>
        </w:rPr>
        <w:fldChar w:fldCharType="begin"/>
      </w:r>
      <w:r w:rsidRPr="00366D0D">
        <w:rPr>
          <w:rFonts w:ascii="Garamond" w:hAnsi="Garamond" w:cstheme="majorBidi"/>
          <w:rtl/>
        </w:rPr>
        <w:instrText xml:space="preserve"> </w:instrText>
      </w:r>
      <w:r w:rsidRPr="00366D0D">
        <w:rPr>
          <w:rFonts w:ascii="Garamond" w:hAnsi="Garamond" w:cstheme="majorBidi"/>
        </w:rPr>
        <w:instrText>ADDIN ZOTERO_BIBL {"uncited":[],"omitted":[],"custom":[]} CSL_BIBLIOGRAPHY</w:instrText>
      </w:r>
      <w:r w:rsidRPr="00366D0D">
        <w:rPr>
          <w:rFonts w:ascii="Garamond" w:hAnsi="Garamond" w:cstheme="majorBidi"/>
          <w:rtl/>
        </w:rPr>
        <w:instrText xml:space="preserve"> </w:instrText>
      </w:r>
      <w:r w:rsidRPr="00366D0D">
        <w:rPr>
          <w:rFonts w:ascii="Garamond" w:hAnsi="Garamond" w:cstheme="majorBidi"/>
          <w:rtl/>
        </w:rPr>
        <w:fldChar w:fldCharType="separate"/>
      </w:r>
      <w:r w:rsidRPr="00366D0D">
        <w:rPr>
          <w:rFonts w:ascii="Garamond" w:hAnsi="Garamond" w:cstheme="majorBidi"/>
        </w:rPr>
        <w:t xml:space="preserve">Abdul Karim Amrullah, Abdul Malik. </w:t>
      </w:r>
      <w:r w:rsidRPr="00366D0D">
        <w:rPr>
          <w:rFonts w:ascii="Garamond" w:hAnsi="Garamond" w:cstheme="majorBidi"/>
          <w:i/>
          <w:iCs/>
        </w:rPr>
        <w:t>Perkembangan Kebatinan Di Indonesia</w:t>
      </w:r>
      <w:r w:rsidRPr="00366D0D">
        <w:rPr>
          <w:rFonts w:ascii="Garamond" w:hAnsi="Garamond" w:cstheme="majorBidi"/>
        </w:rPr>
        <w:t>. Jakarta: Bulan Bintang, 1971.</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Abdullah, Taufik. “Adat and Islam: An Examination of Conflict in Minangkabau.” </w:t>
      </w:r>
      <w:r w:rsidRPr="00366D0D">
        <w:rPr>
          <w:rFonts w:ascii="Garamond" w:hAnsi="Garamond" w:cstheme="majorBidi"/>
          <w:i/>
          <w:iCs/>
        </w:rPr>
        <w:t>Indonesia</w:t>
      </w:r>
      <w:r w:rsidRPr="00366D0D">
        <w:rPr>
          <w:rFonts w:ascii="Garamond" w:hAnsi="Garamond" w:cstheme="majorBidi"/>
        </w:rPr>
        <w:t>, no. 2 (1966): 1–24. https://doi.org/10.2307/3350753.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Andaya, Leonard Y. “The Search for the ‘Origins’ of Melayu.” </w:t>
      </w:r>
      <w:r w:rsidRPr="00366D0D">
        <w:rPr>
          <w:rFonts w:ascii="Garamond" w:hAnsi="Garamond" w:cstheme="majorBidi"/>
          <w:i/>
          <w:iCs/>
        </w:rPr>
        <w:t>Journal of Southeast Asian Studies</w:t>
      </w:r>
      <w:r w:rsidRPr="00366D0D">
        <w:rPr>
          <w:rFonts w:ascii="Garamond" w:hAnsi="Garamond" w:cstheme="majorBidi"/>
        </w:rPr>
        <w:t xml:space="preserve"> 32, no. 3 (2001): 315–30.</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Ayer, A. J. “Cogito, Ergo Sum.” </w:t>
      </w:r>
      <w:r w:rsidRPr="00366D0D">
        <w:rPr>
          <w:rFonts w:ascii="Garamond" w:hAnsi="Garamond" w:cstheme="majorBidi"/>
          <w:i/>
          <w:iCs/>
        </w:rPr>
        <w:t>Analysis</w:t>
      </w:r>
      <w:r w:rsidRPr="00366D0D">
        <w:rPr>
          <w:rFonts w:ascii="Garamond" w:hAnsi="Garamond" w:cstheme="majorBidi"/>
        </w:rPr>
        <w:t xml:space="preserve"> 14, no. 2 (1953): 27–31. https://doi.org/10.2307/3326309.</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Azami, M. Mustafa al-. </w:t>
      </w:r>
      <w:r w:rsidRPr="00366D0D">
        <w:rPr>
          <w:rFonts w:ascii="Garamond" w:hAnsi="Garamond" w:cstheme="majorBidi"/>
          <w:i/>
          <w:iCs/>
        </w:rPr>
        <w:t>On Schacht’s Origins Of Muhammadan Jurisprudence</w:t>
      </w:r>
      <w:r w:rsidRPr="00366D0D">
        <w:rPr>
          <w:rFonts w:ascii="Garamond" w:hAnsi="Garamond" w:cstheme="majorBidi"/>
        </w:rPr>
        <w:t>. Lahore: Suhail Academy, 2004.</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Bell, Anne. “A Narrative Approach to Research,” n.d.</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Berg, C.C. </w:t>
      </w:r>
      <w:r w:rsidRPr="00366D0D">
        <w:rPr>
          <w:rFonts w:ascii="Garamond" w:hAnsi="Garamond" w:cstheme="majorBidi"/>
          <w:i/>
          <w:iCs/>
        </w:rPr>
        <w:t>Wither Islam?: Survey of Moden Movements in the Moslem Wor</w:t>
      </w:r>
      <w:r w:rsidRPr="00366D0D">
        <w:rPr>
          <w:rFonts w:ascii="Garamond" w:hAnsi="Garamond" w:cstheme="majorBidi"/>
        </w:rPr>
        <w:t>. Edited by H. A. R. Gibb. London: Victor Gollancz LTD, 1932.</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Busch, Thomas W. “Phenomenology as Humanism: The Case of Husserl and Sartre.” </w:t>
      </w:r>
      <w:r w:rsidRPr="00366D0D">
        <w:rPr>
          <w:rFonts w:ascii="Garamond" w:hAnsi="Garamond" w:cstheme="majorBidi"/>
          <w:i/>
          <w:iCs/>
        </w:rPr>
        <w:t>Research in Phenomenology</w:t>
      </w:r>
      <w:r w:rsidRPr="00366D0D">
        <w:rPr>
          <w:rFonts w:ascii="Garamond" w:hAnsi="Garamond" w:cstheme="majorBidi"/>
        </w:rPr>
        <w:t xml:space="preserve"> 9 (1979): 127–43.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Conze, Werner, and Charles A. Wright. “Social History.” </w:t>
      </w:r>
      <w:r w:rsidRPr="00366D0D">
        <w:rPr>
          <w:rFonts w:ascii="Garamond" w:hAnsi="Garamond" w:cstheme="majorBidi"/>
          <w:i/>
          <w:iCs/>
        </w:rPr>
        <w:t>Journal of Social History</w:t>
      </w:r>
      <w:r w:rsidRPr="00366D0D">
        <w:rPr>
          <w:rFonts w:ascii="Garamond" w:hAnsi="Garamond" w:cstheme="majorBidi"/>
        </w:rPr>
        <w:t xml:space="preserve"> 1, no. 1 (1967): 7–16.</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Fithoroini, Dayan. “Tradisi Buka Pintu Dalam Perkawinan Masyarakat Banten: Studi Terhadap Tradisi Ya Lail Di Kampung Pakuncen Ciwedus, Cilegon.” </w:t>
      </w:r>
      <w:r w:rsidRPr="00366D0D">
        <w:rPr>
          <w:rFonts w:ascii="Garamond" w:hAnsi="Garamond" w:cstheme="majorBidi"/>
          <w:i/>
          <w:iCs/>
        </w:rPr>
        <w:t xml:space="preserve">Al-Ahwal: </w:t>
      </w:r>
      <w:r w:rsidRPr="00366D0D">
        <w:rPr>
          <w:rFonts w:ascii="Garamond" w:hAnsi="Garamond" w:cstheme="majorBidi"/>
          <w:i/>
          <w:iCs/>
        </w:rPr>
        <w:lastRenderedPageBreak/>
        <w:t>Jurnal Hukum Keluarga Islam</w:t>
      </w:r>
      <w:r w:rsidRPr="00366D0D">
        <w:rPr>
          <w:rFonts w:ascii="Garamond" w:hAnsi="Garamond" w:cstheme="majorBidi"/>
        </w:rPr>
        <w:t xml:space="preserve"> 13, no. 1 (2020): 23–30. https://doi.org/10.14421/ahwal.2020.23-30.</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Geertz, Clifford. </w:t>
      </w:r>
      <w:r w:rsidRPr="00366D0D">
        <w:rPr>
          <w:rFonts w:ascii="Garamond" w:hAnsi="Garamond" w:cstheme="majorBidi"/>
          <w:i/>
          <w:iCs/>
        </w:rPr>
        <w:t>The Religion of Java</w:t>
      </w:r>
      <w:r w:rsidRPr="00366D0D">
        <w:rPr>
          <w:rFonts w:ascii="Garamond" w:hAnsi="Garamond" w:cstheme="majorBidi"/>
        </w:rPr>
        <w:t>. USA: University of Chicago Press, 1976. https://libgen.is/book/index.php?md5=A5E6D14788E7BB61E0D2B7B9B1979FD2.</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Heap, James L., and Phillip A. Roth. “On Phenomenological Sociology.” </w:t>
      </w:r>
      <w:r w:rsidRPr="00366D0D">
        <w:rPr>
          <w:rFonts w:ascii="Garamond" w:hAnsi="Garamond" w:cstheme="majorBidi"/>
          <w:i/>
          <w:iCs/>
        </w:rPr>
        <w:t>American Sociological Review</w:t>
      </w:r>
      <w:r w:rsidRPr="00366D0D">
        <w:rPr>
          <w:rFonts w:ascii="Garamond" w:hAnsi="Garamond" w:cstheme="majorBidi"/>
        </w:rPr>
        <w:t xml:space="preserve"> 38, no. 3 (1973): 354–67. https://doi.org/10.2307/2094358.</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Hidayah, Riski Taufik, Simerjeet Singh Bawa, Gusni Gusni, and Eristy Minda Utami. “The Seren Taun Experience: A Catalyst for Sustainable Cultural Tourism and Visitor Loyalty in West Java.” </w:t>
      </w:r>
      <w:r w:rsidRPr="00366D0D">
        <w:rPr>
          <w:rFonts w:ascii="Garamond" w:hAnsi="Garamond" w:cstheme="majorBidi"/>
          <w:i/>
          <w:iCs/>
        </w:rPr>
        <w:t>Media Ekonomi Dan Manajemen</w:t>
      </w:r>
      <w:r w:rsidRPr="00366D0D">
        <w:rPr>
          <w:rFonts w:ascii="Garamond" w:hAnsi="Garamond" w:cstheme="majorBidi"/>
        </w:rPr>
        <w:t xml:space="preserve"> 40, no. 1 (January 18, 2025): 263–88. https://doi.org/10.56444/mem.v40i1.5606.</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Himatun Najih, Maulida. “Pemahaman Dan Praktik Hadis Skepemimpinan Perempuan (Studi Living Hadis Di Yayasan Ali Maksum Pondok Pesantren Krapyak Yogyakarta).” Skripsi, UIN Sunan Kalijaga Yogyakarta, 2013. https://doi.org/10/preview.jpg.</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Hintikka, Jaakko. “Cogito, Ergo Sum: Inference or Performance?” </w:t>
      </w:r>
      <w:r w:rsidRPr="00366D0D">
        <w:rPr>
          <w:rFonts w:ascii="Garamond" w:hAnsi="Garamond" w:cstheme="majorBidi"/>
          <w:i/>
          <w:iCs/>
        </w:rPr>
        <w:t>The Philosophical Review</w:t>
      </w:r>
      <w:r w:rsidRPr="00366D0D">
        <w:rPr>
          <w:rFonts w:ascii="Garamond" w:hAnsi="Garamond" w:cstheme="majorBidi"/>
        </w:rPr>
        <w:t xml:space="preserve"> 71, no. 1 (1962): 3–32. https://doi.org/10.2307/2183678.</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Ikhsan, Khaerul, Diky Firmansyah, Muhammad Alif, and Masrukhin Muhsin. “Tradisi Ngabungbang Pada Masyarakat Sunda</w:t>
      </w:r>
      <w:r w:rsidRPr="00366D0D">
        <w:rPr>
          <w:rFonts w:ascii="Times New Roman" w:hAnsi="Times New Roman" w:cs="Times New Roman"/>
        </w:rPr>
        <w:t> </w:t>
      </w:r>
      <w:r w:rsidRPr="00366D0D">
        <w:rPr>
          <w:rFonts w:ascii="Garamond" w:hAnsi="Garamond" w:cstheme="majorBidi"/>
        </w:rPr>
        <w:t>: Studi Living Hadis Pada Tradisi Ngabungbang Di Kampung Pendeui Ciomas Serang.</w:t>
      </w:r>
      <w:r w:rsidRPr="00366D0D">
        <w:rPr>
          <w:rFonts w:ascii="Garamond" w:hAnsi="Garamond" w:cs="Georgia"/>
        </w:rPr>
        <w:t>”</w:t>
      </w:r>
      <w:r w:rsidRPr="00366D0D">
        <w:rPr>
          <w:rFonts w:ascii="Garamond" w:hAnsi="Garamond" w:cstheme="majorBidi"/>
        </w:rPr>
        <w:t xml:space="preserve"> </w:t>
      </w:r>
      <w:r w:rsidRPr="00366D0D">
        <w:rPr>
          <w:rFonts w:ascii="Garamond" w:hAnsi="Garamond" w:cstheme="majorBidi"/>
          <w:i/>
          <w:iCs/>
        </w:rPr>
        <w:t>Jurnal Penelitian Multidisiplin Bangsa</w:t>
      </w:r>
      <w:r w:rsidRPr="00366D0D">
        <w:rPr>
          <w:rFonts w:ascii="Garamond" w:hAnsi="Garamond" w:cstheme="majorBidi"/>
        </w:rPr>
        <w:t xml:space="preserve"> 1, no. 8 (January 1, 2025): 904–12. https://doi.org/10.59837/jpnmb.v1i8.174.</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Ikhsani, Nurul. “Tradisi Nadran Di Desa Juntinyuat Kecamatan Juntinyuat Kabupaten Indramayu (Studi Living Hadis).” Skripsi, UIN Sunan Kalijaga Yogyakarta, 2024. https://digilib.uin-suka.ac.id/id/eprint/68905/.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“Integration of Local Wisdom Values of Seren Taun Traditional Ceremony in Social Science Lesson as Learning Model of Ethnopedagogy in SMPN 1 Nagrak District of Nagrak Regency of Sukabumi.” </w:t>
      </w:r>
      <w:r w:rsidRPr="00366D0D">
        <w:rPr>
          <w:rFonts w:ascii="Garamond" w:hAnsi="Garamond" w:cstheme="majorBidi"/>
          <w:i/>
          <w:iCs/>
        </w:rPr>
        <w:t>İlköğretim Online</w:t>
      </w:r>
      <w:r w:rsidRPr="00366D0D">
        <w:rPr>
          <w:rFonts w:ascii="Garamond" w:hAnsi="Garamond" w:cstheme="majorBidi"/>
        </w:rPr>
        <w:t xml:space="preserve"> 20, no. 3 (January 1, 2021). https://doi.org/10.17051/ilkonline.2021.03.35.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Ismail. “Konsep Pakaian Menurut Salafi Banyumas (Studi Living Hadis).” Masters, UIN Sunan Kalijaga Yogyakarta, 2015. https://digilib.uin-suka.ac.id/id/eprint/19905/.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Jackson Jr., John L. “On Ethnographic Sincerity.” </w:t>
      </w:r>
      <w:r w:rsidRPr="00366D0D">
        <w:rPr>
          <w:rFonts w:ascii="Garamond" w:hAnsi="Garamond" w:cstheme="majorBidi"/>
          <w:i/>
          <w:iCs/>
        </w:rPr>
        <w:t>Current Anthropology</w:t>
      </w:r>
      <w:r w:rsidRPr="00366D0D">
        <w:rPr>
          <w:rFonts w:ascii="Garamond" w:hAnsi="Garamond" w:cstheme="majorBidi"/>
        </w:rPr>
        <w:t xml:space="preserve"> 51, no. S2 (2010): S279–87. https://doi.org/10.1086/653129.</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Joseph Schacht. </w:t>
      </w:r>
      <w:r w:rsidRPr="00366D0D">
        <w:rPr>
          <w:rFonts w:ascii="Garamond" w:hAnsi="Garamond" w:cstheme="majorBidi"/>
          <w:i/>
          <w:iCs/>
        </w:rPr>
        <w:t>The Origins of Muhammadan Jurisprudence</w:t>
      </w:r>
      <w:r w:rsidRPr="00366D0D">
        <w:rPr>
          <w:rFonts w:ascii="Garamond" w:hAnsi="Garamond" w:cstheme="majorBidi"/>
        </w:rPr>
        <w:t>. Oxford: The Clarendon, 1967. http://archive.org/details/schacht-joseph-the-origins-of-muhamaddan-jurisprudence.</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Klein, Harnet E. Manelis. “Narrative.” </w:t>
      </w:r>
      <w:r w:rsidRPr="00366D0D">
        <w:rPr>
          <w:rFonts w:ascii="Garamond" w:hAnsi="Garamond" w:cstheme="majorBidi"/>
          <w:i/>
          <w:iCs/>
        </w:rPr>
        <w:t>Journal of Linguistic Anthropology</w:t>
      </w:r>
      <w:r w:rsidRPr="00366D0D">
        <w:rPr>
          <w:rFonts w:ascii="Garamond" w:hAnsi="Garamond" w:cstheme="majorBidi"/>
        </w:rPr>
        <w:t xml:space="preserve"> 9, no. 1/2 (1999): 167–69.</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Kurniawan, Rio, Ahmad Hizazih Al-Faqih, Muhammad Fadli Hanif, Badrudin Badrudin, and Muhammad Alif. “Tradisi Seren Taun Di Kasepuhan Citorek Lebak Banten (Studi Living Hadis).” </w:t>
      </w:r>
      <w:r w:rsidRPr="00366D0D">
        <w:rPr>
          <w:rFonts w:ascii="Garamond" w:hAnsi="Garamond" w:cstheme="majorBidi"/>
          <w:i/>
          <w:iCs/>
        </w:rPr>
        <w:t>Hamalatul Qur’an</w:t>
      </w:r>
      <w:r w:rsidRPr="00366D0D">
        <w:rPr>
          <w:rFonts w:ascii="Times New Roman" w:hAnsi="Times New Roman" w:cs="Times New Roman"/>
          <w:i/>
          <w:iCs/>
        </w:rPr>
        <w:t> </w:t>
      </w:r>
      <w:r w:rsidRPr="00366D0D">
        <w:rPr>
          <w:rFonts w:ascii="Garamond" w:hAnsi="Garamond" w:cstheme="majorBidi"/>
          <w:i/>
          <w:iCs/>
        </w:rPr>
        <w:t>: Jurnal Ilmu Ilmu Alqur</w:t>
      </w:r>
      <w:r w:rsidRPr="00366D0D">
        <w:rPr>
          <w:rFonts w:ascii="Garamond" w:hAnsi="Garamond" w:cs="Georgia"/>
          <w:i/>
          <w:iCs/>
        </w:rPr>
        <w:t>’</w:t>
      </w:r>
      <w:r w:rsidRPr="00366D0D">
        <w:rPr>
          <w:rFonts w:ascii="Garamond" w:hAnsi="Garamond" w:cstheme="majorBidi"/>
          <w:i/>
          <w:iCs/>
        </w:rPr>
        <w:t>an</w:t>
      </w:r>
      <w:r w:rsidRPr="00366D0D">
        <w:rPr>
          <w:rFonts w:ascii="Garamond" w:hAnsi="Garamond" w:cstheme="majorBidi"/>
        </w:rPr>
        <w:t xml:space="preserve"> 5, no. 2 (December 29, 2024): 840–51. https://doi.org/10.37985/hq.v5i2.378.</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Mahfudz, Ahmad. “Tradisi pernikahan di masyarakat payudan karangsokon guluk-guluk sumenep (kajian living hadis).” bachelorThesis, UIN Syarif Hidayatullah Jakarta, 2017. https://repository.uinjkt.ac.id/dspace/handle/123456789/34694.</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Metcalf, Barbara D. “Living Hadīth in the Tablīghī Jama`āt.” </w:t>
      </w:r>
      <w:r w:rsidRPr="00366D0D">
        <w:rPr>
          <w:rFonts w:ascii="Garamond" w:hAnsi="Garamond" w:cstheme="majorBidi"/>
          <w:i/>
          <w:iCs/>
        </w:rPr>
        <w:t>The Journal of Asian Studies</w:t>
      </w:r>
      <w:r w:rsidRPr="00366D0D">
        <w:rPr>
          <w:rFonts w:ascii="Garamond" w:hAnsi="Garamond" w:cstheme="majorBidi"/>
        </w:rPr>
        <w:t xml:space="preserve"> 52, no. 3 (1993): 584–608. https://doi.org/10.2307/2058855.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lastRenderedPageBreak/>
        <w:t>Mugiroh, Mugiroh. “Tradisi Buka Pintu Dalam Pernikahan Masyarakat Banten</w:t>
      </w:r>
      <w:r w:rsidRPr="00366D0D">
        <w:rPr>
          <w:rFonts w:ascii="Times New Roman" w:hAnsi="Times New Roman" w:cs="Times New Roman"/>
        </w:rPr>
        <w:t> </w:t>
      </w:r>
      <w:r w:rsidRPr="00366D0D">
        <w:rPr>
          <w:rFonts w:ascii="Garamond" w:hAnsi="Garamond" w:cstheme="majorBidi"/>
        </w:rPr>
        <w:t>: Studi Living Hadis Terhadap Tradisi Ya Lail Di Desa Pedaleman Kecamatan Tanara Kabupaten Serang.</w:t>
      </w:r>
      <w:r w:rsidRPr="00366D0D">
        <w:rPr>
          <w:rFonts w:ascii="Garamond" w:hAnsi="Garamond" w:cs="Georgia"/>
        </w:rPr>
        <w:t>”</w:t>
      </w:r>
      <w:r w:rsidRPr="00366D0D">
        <w:rPr>
          <w:rFonts w:ascii="Garamond" w:hAnsi="Garamond" w:cstheme="majorBidi"/>
        </w:rPr>
        <w:t xml:space="preserve"> </w:t>
      </w:r>
      <w:r w:rsidRPr="00366D0D">
        <w:rPr>
          <w:rFonts w:ascii="Garamond" w:hAnsi="Garamond" w:cstheme="majorBidi"/>
          <w:i/>
          <w:iCs/>
        </w:rPr>
        <w:t>Jurnal Penelitian Multidisiplin Bangsa</w:t>
      </w:r>
      <w:r w:rsidRPr="00366D0D">
        <w:rPr>
          <w:rFonts w:ascii="Garamond" w:hAnsi="Garamond" w:cstheme="majorBidi"/>
        </w:rPr>
        <w:t xml:space="preserve"> 1, no. 8 (January 1, 2025): 881–89. https://doi.org/10.59837/jpnmb.v1i8.171.</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Muhaimin, A. G. “Belief System.” In </w:t>
      </w:r>
      <w:r w:rsidRPr="00366D0D">
        <w:rPr>
          <w:rFonts w:ascii="Garamond" w:hAnsi="Garamond" w:cstheme="majorBidi"/>
          <w:i/>
          <w:iCs/>
        </w:rPr>
        <w:t>The Islamic Traditions of Cirebon</w:t>
      </w:r>
      <w:r w:rsidRPr="00366D0D">
        <w:rPr>
          <w:rFonts w:ascii="Garamond" w:hAnsi="Garamond" w:cstheme="majorBidi"/>
        </w:rPr>
        <w:t>, 29–52. Ibadat and Adat Among Javanese Muslims. ANU Press, 2006. https://www.jstor.org/stable/j.ctt2jbkqk.8.</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Neisser, Hans P. “The Phenomenological Approach in Social Science.” </w:t>
      </w:r>
      <w:r w:rsidRPr="00366D0D">
        <w:rPr>
          <w:rFonts w:ascii="Garamond" w:hAnsi="Garamond" w:cstheme="majorBidi"/>
          <w:i/>
          <w:iCs/>
        </w:rPr>
        <w:t>Philosophy and Phenomenological Research</w:t>
      </w:r>
      <w:r w:rsidRPr="00366D0D">
        <w:rPr>
          <w:rFonts w:ascii="Garamond" w:hAnsi="Garamond" w:cstheme="majorBidi"/>
        </w:rPr>
        <w:t xml:space="preserve"> 20, no. 2 (1959): 198–212. https://doi.org/10.2307/2104356.</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Nikmatullah. “Living hadith pernikahan: studi antropologi hadis dalam tradisi islam sasak lombok.” doctoralThesis, UIN Syarif Hidayatullah Jakarta, 2019. https://repository.uinjkt.ac.id/dspace/handle/123456789/48804.</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Parhi, A. R. </w:t>
      </w:r>
      <w:r w:rsidRPr="00366D0D">
        <w:rPr>
          <w:rFonts w:ascii="Garamond" w:hAnsi="Garamond" w:cstheme="majorBidi"/>
          <w:i/>
          <w:iCs/>
        </w:rPr>
        <w:t>Introduction to Sociology</w:t>
      </w:r>
      <w:r w:rsidRPr="00366D0D">
        <w:rPr>
          <w:rFonts w:ascii="Garamond" w:hAnsi="Garamond" w:cstheme="majorBidi"/>
        </w:rPr>
        <w:t>. India: Rajiv Gandhi Universitu, 2016.</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Pickering, W.S.F. </w:t>
      </w:r>
      <w:r w:rsidRPr="00366D0D">
        <w:rPr>
          <w:rFonts w:ascii="Garamond" w:hAnsi="Garamond" w:cstheme="majorBidi"/>
          <w:i/>
          <w:iCs/>
        </w:rPr>
        <w:t>Durkheim’s Sociology of Religion: Themes and Theories</w:t>
      </w:r>
      <w:r w:rsidRPr="00366D0D">
        <w:rPr>
          <w:rFonts w:ascii="Garamond" w:hAnsi="Garamond" w:cstheme="majorBidi"/>
        </w:rPr>
        <w:t>. United Kingdom: British Labrary Cataloguing in Publication Data, 1984.</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Prince, Gerald, and Arlene Noble. “Narratology, Narrative, and Meaning.” </w:t>
      </w:r>
      <w:r w:rsidRPr="00366D0D">
        <w:rPr>
          <w:rFonts w:ascii="Garamond" w:hAnsi="Garamond" w:cstheme="majorBidi"/>
          <w:i/>
          <w:iCs/>
        </w:rPr>
        <w:t>Poetics Today</w:t>
      </w:r>
      <w:r w:rsidRPr="00366D0D">
        <w:rPr>
          <w:rFonts w:ascii="Garamond" w:hAnsi="Garamond" w:cstheme="majorBidi"/>
        </w:rPr>
        <w:t xml:space="preserve"> 12, no. 3 (1991): 543–52. https://doi.org/10.2307/1772650.</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Qudsy, Saifuddin Zuhri. “Living Hadis: Genealogi, Teori, Dan Aplikasi.” </w:t>
      </w:r>
      <w:r w:rsidRPr="00366D0D">
        <w:rPr>
          <w:rFonts w:ascii="Garamond" w:hAnsi="Garamond" w:cstheme="majorBidi"/>
          <w:i/>
          <w:iCs/>
        </w:rPr>
        <w:t>Jurnal Living Hadis</w:t>
      </w:r>
      <w:r w:rsidRPr="00366D0D">
        <w:rPr>
          <w:rFonts w:ascii="Garamond" w:hAnsi="Garamond" w:cstheme="majorBidi"/>
        </w:rPr>
        <w:t xml:space="preserve"> 1, no. 1 (May 6, 2016): 177–96. https://doi.org/10.14421/livinghadis.2016.1073.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Qudsy, Saifuddin Zuhri, Irwan Abdullah, Hasse Jubba, Zaenuddin Hudi Prasojo, and Egi Tanadi Taufik. “The Making of Living </w:t>
      </w:r>
      <w:r w:rsidRPr="00366D0D">
        <w:rPr>
          <w:rFonts w:ascii="Times New Roman" w:hAnsi="Times New Roman" w:cs="Times New Roman"/>
        </w:rPr>
        <w:t>Ḥ</w:t>
      </w:r>
      <w:r w:rsidRPr="00366D0D">
        <w:rPr>
          <w:rFonts w:ascii="Garamond" w:hAnsi="Garamond" w:cstheme="majorBidi"/>
        </w:rPr>
        <w:t xml:space="preserve">adīth: A New Direction of </w:t>
      </w:r>
      <w:r w:rsidRPr="00366D0D">
        <w:rPr>
          <w:rFonts w:ascii="Times New Roman" w:hAnsi="Times New Roman" w:cs="Times New Roman"/>
        </w:rPr>
        <w:t>Ḥ</w:t>
      </w:r>
      <w:r w:rsidRPr="00366D0D">
        <w:rPr>
          <w:rFonts w:ascii="Garamond" w:hAnsi="Garamond" w:cstheme="majorBidi"/>
        </w:rPr>
        <w:t xml:space="preserve">adīth Studies in Indonesia.” </w:t>
      </w:r>
      <w:r w:rsidRPr="00366D0D">
        <w:rPr>
          <w:rFonts w:ascii="Garamond" w:hAnsi="Garamond" w:cstheme="majorBidi"/>
          <w:i/>
          <w:iCs/>
        </w:rPr>
        <w:t>Culture and Religion</w:t>
      </w:r>
      <w:r w:rsidRPr="00366D0D">
        <w:rPr>
          <w:rFonts w:ascii="Garamond" w:hAnsi="Garamond" w:cstheme="majorBidi"/>
        </w:rPr>
        <w:t xml:space="preserve"> 23, no. 4 (October 2, 2023): 353–72. https://doi.org/10.1080/14755610.2024.2336461.</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Rahman, Fazlur. “Sunnah and </w:t>
      </w:r>
      <w:r w:rsidRPr="00366D0D">
        <w:rPr>
          <w:rFonts w:ascii="Times New Roman" w:hAnsi="Times New Roman" w:cs="Times New Roman"/>
        </w:rPr>
        <w:t>Ḥ</w:t>
      </w:r>
      <w:r w:rsidRPr="00366D0D">
        <w:rPr>
          <w:rFonts w:ascii="Garamond" w:hAnsi="Garamond" w:cstheme="majorBidi"/>
        </w:rPr>
        <w:t>adī</w:t>
      </w:r>
      <w:r w:rsidRPr="00366D0D">
        <w:rPr>
          <w:rFonts w:ascii="Times New Roman" w:hAnsi="Times New Roman" w:cs="Times New Roman"/>
        </w:rPr>
        <w:t>ṯẖ</w:t>
      </w:r>
      <w:r w:rsidRPr="00366D0D">
        <w:rPr>
          <w:rFonts w:ascii="Garamond" w:hAnsi="Garamond" w:cstheme="majorBidi"/>
        </w:rPr>
        <w:t xml:space="preserve">.” </w:t>
      </w:r>
      <w:r w:rsidRPr="00366D0D">
        <w:rPr>
          <w:rFonts w:ascii="Garamond" w:hAnsi="Garamond" w:cstheme="majorBidi"/>
          <w:i/>
          <w:iCs/>
        </w:rPr>
        <w:t>Islamic Studies</w:t>
      </w:r>
      <w:r w:rsidRPr="00366D0D">
        <w:rPr>
          <w:rFonts w:ascii="Garamond" w:hAnsi="Garamond" w:cstheme="majorBidi"/>
        </w:rPr>
        <w:t xml:space="preserve"> 1, no. 2 (1962): 1–36.</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Ricklefs, M. C. “Unity and Disunity in Javanese Political and Religious Thought of the Eighteenth Century.” </w:t>
      </w:r>
      <w:r w:rsidRPr="00366D0D">
        <w:rPr>
          <w:rFonts w:ascii="Garamond" w:hAnsi="Garamond" w:cstheme="majorBidi"/>
          <w:i/>
          <w:iCs/>
        </w:rPr>
        <w:t>Modern Asian Studies</w:t>
      </w:r>
      <w:r w:rsidRPr="00366D0D">
        <w:rPr>
          <w:rFonts w:ascii="Garamond" w:hAnsi="Garamond" w:cstheme="majorBidi"/>
        </w:rPr>
        <w:t xml:space="preserve"> 26, no. 4 (1992): 663–78.</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Rini, Yuli Sectio. “Joged Mataram: The Concept of Dance Applied in the Present Community Life,” 267–70. Atlantis Press, 2020. https://doi.org/10.2991/assehr.k.200703.055.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Rohman, M. Zainur. “Living Hadis: Studi Atas Fenomena Kegiatan Simaan Alquran Jantiko Mantab di Kabupaten Mesuji.” masterThesis, UIN Syarif Hidayatullah Jakarta, 2020. https://repository.uinjkt.ac.id/dspace/handle/123456789/51543.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Rohmansyah. “Filantropi Dalam Gerakan Muhammadiyah Di Daerah Istimewa Yogyakarta (Studi Living Hadis).” Doctoral, UIN Sunan Kalijaga Yogyakarta, 2020. https://digilib.uin-suka.ac.id/id/eprint/39843/.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Sa’diyah, Halimatus. “Majelis Bukhoren Di Kasultanan Ngayogyakarta Hadiningrat (Studi Living Hadis).” Skripsi, UIN Sunan Kalijaga Yogyakarta, 2013. https://digilib.uin-suka.ac.id/id/eprint/12088/.</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Shaleh Assingkily, Muhammad. “Living Qur’an Dan Hadis Di Mi Nurul Ummah Kotagede Yogyakarta (Studi Pendidikan Nilai Dalam Pembelajaran Al- Qur’an Hadis Kelas 1-3).” Masters, UIN Sunan Kalijaga Yogyakarta, 2020. https://digilib.uin-suka.ac.id/id/eprint/39183/.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Soebagijo, I. N. “Nyuwun Pamit Kyai.” </w:t>
      </w:r>
      <w:r w:rsidRPr="00366D0D">
        <w:rPr>
          <w:rFonts w:ascii="Garamond" w:hAnsi="Garamond" w:cstheme="majorBidi"/>
          <w:i/>
          <w:iCs/>
        </w:rPr>
        <w:t>Brill</w:t>
      </w:r>
      <w:r w:rsidRPr="00366D0D">
        <w:rPr>
          <w:rFonts w:ascii="Garamond" w:hAnsi="Garamond" w:cstheme="majorBidi"/>
        </w:rPr>
        <w:t>, 1945.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Sofwan, Nurkholis. “Living hadis</w:t>
      </w:r>
      <w:r w:rsidRPr="00366D0D">
        <w:rPr>
          <w:rFonts w:ascii="Times New Roman" w:hAnsi="Times New Roman" w:cs="Times New Roman"/>
        </w:rPr>
        <w:t> </w:t>
      </w:r>
      <w:r w:rsidRPr="00366D0D">
        <w:rPr>
          <w:rFonts w:ascii="Garamond" w:hAnsi="Garamond" w:cstheme="majorBidi"/>
        </w:rPr>
        <w:t>: studi atas fenomena tradisi fidyah salat dan puasa bagi orang meninggal di Indramayu.</w:t>
      </w:r>
      <w:r w:rsidRPr="00366D0D">
        <w:rPr>
          <w:rFonts w:ascii="Garamond" w:hAnsi="Garamond" w:cs="Georgia"/>
        </w:rPr>
        <w:t>”</w:t>
      </w:r>
      <w:r w:rsidRPr="00366D0D">
        <w:rPr>
          <w:rFonts w:ascii="Garamond" w:hAnsi="Garamond" w:cstheme="majorBidi"/>
        </w:rPr>
        <w:t xml:space="preserve"> masterThesis, UIN Syarif Hidayatullah Jakarta, 2018. https://repository.uinjkt.ac.id/dspace/handle/123456789/37820.</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lastRenderedPageBreak/>
        <w:t>Solihin, Muhammad. “Tradisi Kenduri Arwah Di Desa Labuhan Papan Kabupaten Rokan Hilir (Studi Living Hadis).” bachelorThesis, UIN Syarif Hidayatullah Jakarta, 2025. https://repository.uinjkt.ac.id/dspace/handle/123456789/83405.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Stone, Jim. “Cogito Ergo Sum.” </w:t>
      </w:r>
      <w:r w:rsidRPr="00366D0D">
        <w:rPr>
          <w:rFonts w:ascii="Garamond" w:hAnsi="Garamond" w:cstheme="majorBidi"/>
          <w:i/>
          <w:iCs/>
        </w:rPr>
        <w:t>The Journal of Philosophy</w:t>
      </w:r>
      <w:r w:rsidRPr="00366D0D">
        <w:rPr>
          <w:rFonts w:ascii="Garamond" w:hAnsi="Garamond" w:cstheme="majorBidi"/>
        </w:rPr>
        <w:t xml:space="preserve"> 90, no. 9 (1993): 462–68. https://doi.org/10.2307/2940860.</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Sugiarto, Fitrah, Ahlan, and Nurwathani Janhari. </w:t>
      </w:r>
      <w:r w:rsidRPr="00366D0D">
        <w:rPr>
          <w:rFonts w:ascii="Garamond" w:hAnsi="Garamond" w:cstheme="majorBidi"/>
          <w:i/>
          <w:iCs/>
        </w:rPr>
        <w:t>Metodelogi Penelitian Living Qur’an Dan Hadis</w:t>
      </w:r>
      <w:r w:rsidRPr="00366D0D">
        <w:rPr>
          <w:rFonts w:ascii="Garamond" w:hAnsi="Garamond" w:cstheme="majorBidi"/>
        </w:rPr>
        <w:t>. Mataram: UIN Mataram Press, 2023.</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Suryadilaga, Muhammad Alfatih. “Mafhūm Al-</w:t>
      </w:r>
      <w:r w:rsidRPr="00366D0D">
        <w:rPr>
          <w:rFonts w:ascii="Times New Roman" w:hAnsi="Times New Roman" w:cs="Times New Roman"/>
        </w:rPr>
        <w:t>Ṣ</w:t>
      </w:r>
      <w:r w:rsidRPr="00366D0D">
        <w:rPr>
          <w:rFonts w:ascii="Garamond" w:hAnsi="Garamond" w:cstheme="majorBidi"/>
        </w:rPr>
        <w:t>alawāt ‘inda Majmū‘at Joged Shalawat Mataram: Dirāsah Fī al-</w:t>
      </w:r>
      <w:r w:rsidRPr="00366D0D">
        <w:rPr>
          <w:rFonts w:ascii="Times New Roman" w:hAnsi="Times New Roman" w:cs="Times New Roman"/>
        </w:rPr>
        <w:t>Ḥ</w:t>
      </w:r>
      <w:r w:rsidRPr="00366D0D">
        <w:rPr>
          <w:rFonts w:ascii="Garamond" w:hAnsi="Garamond" w:cstheme="majorBidi"/>
        </w:rPr>
        <w:t>adīth al-</w:t>
      </w:r>
      <w:r w:rsidRPr="00366D0D">
        <w:rPr>
          <w:rFonts w:ascii="Times New Roman" w:hAnsi="Times New Roman" w:cs="Times New Roman"/>
        </w:rPr>
        <w:t>Ḥ</w:t>
      </w:r>
      <w:r w:rsidRPr="00366D0D">
        <w:rPr>
          <w:rFonts w:ascii="Garamond" w:hAnsi="Garamond" w:cstheme="majorBidi"/>
        </w:rPr>
        <w:t xml:space="preserve">ayy.” </w:t>
      </w:r>
      <w:r w:rsidRPr="00366D0D">
        <w:rPr>
          <w:rFonts w:ascii="Garamond" w:hAnsi="Garamond" w:cstheme="majorBidi"/>
          <w:i/>
          <w:iCs/>
        </w:rPr>
        <w:t>Studia Islamika</w:t>
      </w:r>
      <w:r w:rsidRPr="00366D0D">
        <w:rPr>
          <w:rFonts w:ascii="Garamond" w:hAnsi="Garamond" w:cstheme="majorBidi"/>
        </w:rPr>
        <w:t xml:space="preserve"> 21, no. 3 (December 30, 2014): 535–78. https://doi.org/10.15408/sdi.v21i3.1220.</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W. Creswell, John. </w:t>
      </w:r>
      <w:r w:rsidRPr="00366D0D">
        <w:rPr>
          <w:rFonts w:ascii="Garamond" w:hAnsi="Garamond" w:cstheme="majorBidi"/>
          <w:i/>
          <w:iCs/>
        </w:rPr>
        <w:t>Qualitative Inquiry and Research Design Choosing Among Five Approaches</w:t>
      </w:r>
      <w:r w:rsidRPr="00366D0D">
        <w:rPr>
          <w:rFonts w:ascii="Garamond" w:hAnsi="Garamond" w:cstheme="majorBidi"/>
        </w:rPr>
        <w:t>. New Delhi: Sage Publications, 2007.</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Wahid, Masykur. “Hermeneutika Fenomenologis Dalam Studi Living Hadits.” </w:t>
      </w:r>
      <w:r w:rsidRPr="00366D0D">
        <w:rPr>
          <w:rFonts w:ascii="Garamond" w:hAnsi="Garamond" w:cstheme="majorBidi"/>
          <w:i/>
          <w:iCs/>
        </w:rPr>
        <w:t>Jurnal Holistic</w:t>
      </w:r>
      <w:r w:rsidRPr="00366D0D">
        <w:rPr>
          <w:rFonts w:ascii="Garamond" w:hAnsi="Garamond" w:cstheme="majorBidi"/>
        </w:rPr>
        <w:t xml:space="preserve"> 01, no. 02 (2015).</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Wessing, Robert. “Spirits of the Earth and Spirits of the Water: Chthonic Forces in the Mountains of West Java.” </w:t>
      </w:r>
      <w:r w:rsidRPr="00366D0D">
        <w:rPr>
          <w:rFonts w:ascii="Garamond" w:hAnsi="Garamond" w:cstheme="majorBidi"/>
          <w:i/>
          <w:iCs/>
        </w:rPr>
        <w:t>Asian Folklore Studies</w:t>
      </w:r>
      <w:r w:rsidRPr="00366D0D">
        <w:rPr>
          <w:rFonts w:ascii="Garamond" w:hAnsi="Garamond" w:cstheme="majorBidi"/>
        </w:rPr>
        <w:t xml:space="preserve"> 47, no. 1 (1988): 43–61. https://doi.org/10.2307/1178251.</w:t>
      </w:r>
    </w:p>
    <w:p w:rsidR="00FB14E1" w:rsidRPr="00366D0D" w:rsidRDefault="00FB14E1" w:rsidP="00FB14E1">
      <w:pPr>
        <w:pStyle w:val="Bibliography"/>
        <w:jc w:val="both"/>
        <w:rPr>
          <w:rFonts w:ascii="Garamond" w:hAnsi="Garamond" w:cstheme="majorBidi"/>
        </w:rPr>
      </w:pPr>
      <w:r w:rsidRPr="00366D0D">
        <w:rPr>
          <w:rFonts w:ascii="Garamond" w:hAnsi="Garamond" w:cstheme="majorBidi"/>
        </w:rPr>
        <w:t xml:space="preserve">Zuhri Qudsy, Saifuddin, and Subkhani Sukuma Dewi. </w:t>
      </w:r>
      <w:r w:rsidRPr="00366D0D">
        <w:rPr>
          <w:rFonts w:ascii="Garamond" w:hAnsi="Garamond" w:cstheme="majorBidi"/>
          <w:i/>
          <w:iCs/>
        </w:rPr>
        <w:t>Living Hadis: Praktik, Resepsi, Teks, Dan Transmisi</w:t>
      </w:r>
      <w:r w:rsidRPr="00366D0D">
        <w:rPr>
          <w:rFonts w:ascii="Garamond" w:hAnsi="Garamond" w:cstheme="majorBidi"/>
        </w:rPr>
        <w:t>. Jogjakarta: Q-Media, 2018.</w:t>
      </w:r>
    </w:p>
    <w:p w:rsidR="006800DD" w:rsidRPr="00424452" w:rsidRDefault="00FB14E1" w:rsidP="00424452">
      <w:pPr>
        <w:bidi/>
        <w:jc w:val="both"/>
        <w:rPr>
          <w:rFonts w:ascii="Garamond" w:hAnsi="Garamond" w:cstheme="majorBidi"/>
        </w:rPr>
      </w:pPr>
      <w:r w:rsidRPr="00366D0D">
        <w:rPr>
          <w:rFonts w:ascii="Garamond" w:hAnsi="Garamond" w:cstheme="majorBidi"/>
          <w:rtl/>
        </w:rPr>
        <w:fldChar w:fldCharType="end"/>
      </w:r>
      <w:bookmarkEnd w:id="11"/>
    </w:p>
    <w:sectPr w:rsidR="006800DD" w:rsidRPr="0042445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290" w:rsidRDefault="00B56290" w:rsidP="00FB14E1">
      <w:r>
        <w:separator/>
      </w:r>
    </w:p>
  </w:endnote>
  <w:endnote w:type="continuationSeparator" w:id="0">
    <w:p w:rsidR="00B56290" w:rsidRDefault="00B56290" w:rsidP="00FB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290" w:rsidRDefault="00B56290" w:rsidP="00FB14E1">
      <w:r>
        <w:separator/>
      </w:r>
    </w:p>
  </w:footnote>
  <w:footnote w:type="continuationSeparator" w:id="0">
    <w:p w:rsidR="00B56290" w:rsidRDefault="00B56290" w:rsidP="00FB14E1">
      <w:r>
        <w:continuationSeparator/>
      </w:r>
    </w:p>
  </w:footnote>
  <w:footnote w:id="1">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{"citationID":"CYMc3rMf","properties":{"formattedCitation":"Oman Fathurahman, \\uc0\\u8220{}The Roots of the Writing Tradition of \\uc0\\u7716{}ad\\uc0\\u299{}th Works in Nusantara: Hid\\uc0\\u257{}y\\uc0\\u257{}t al-\\uc0\\u7716{}ab\\uc0\\u299{}b by N\\uc0\\u363{}r al-D\\uc0\\u299{}n al-R\\uc0\\u257{}n\\uc0\\u299{}r\\uc0\\u299{},\\uc0\\u8221{} {\\i{}Studia Islamika} 19, no. 1 (2012): 48, https://doi.org/10.15408/sdi.v19i1.369.","plainCitation":"Oman Fathurahman, “The Roots of the Writing Tradition of </w:instrText>
      </w:r>
      <w:r w:rsidRPr="00FB0005">
        <w:rPr>
          <w:rFonts w:ascii="Times New Roman" w:hAnsi="Times New Roman" w:cs="Times New Roman"/>
        </w:rPr>
        <w:instrText>Ḥ</w:instrText>
      </w:r>
      <w:r w:rsidRPr="00FB0005">
        <w:rPr>
          <w:rFonts w:ascii="Garamond" w:hAnsi="Garamond" w:cstheme="majorBidi"/>
        </w:rPr>
        <w:instrText>adīth Works in Nusantara: Hidāyāt al-</w:instrText>
      </w:r>
      <w:r w:rsidRPr="00FB0005">
        <w:rPr>
          <w:rFonts w:ascii="Times New Roman" w:hAnsi="Times New Roman" w:cs="Times New Roman"/>
        </w:rPr>
        <w:instrText>Ḥ</w:instrText>
      </w:r>
      <w:r w:rsidRPr="00FB0005">
        <w:rPr>
          <w:rFonts w:ascii="Garamond" w:hAnsi="Garamond" w:cstheme="majorBidi"/>
        </w:rPr>
        <w:instrText xml:space="preserve">abīb by Nūr al-Dīn al-Rānīrī,” Studia Islamika 19, no. 1 (2012): 48, https://doi.org/10.15408/sdi.v19i1.369.","noteIndex":594},"citationItems":[{"id":551,"uris":["http://zotero.org/users/local/n49v5LOV/items/KA9JL3PS"],"itemData":{"id":551,"type":"article-journal","abstract":"Artikel ini mencoba membuktikan bahwa tradisi penulisan kitab-kitab  hadis di kalangan ulama Nusantara tidak 'sesepi' yang dikesankan selama  ini. Meskipun dari segi jumlah memang kalah jauh dibanding bidang  keilmuan lain, terutama tasawuf dan fikih, karya-karya lokal di bidang  hadis, terutama dalam bahasa Melayu, dapat dijumpai, baik berupa  kompilasi utuh sejumlah hadis maupun semata terjemahan dari kitab hadis  berbahasa Arab. Salah satu kitab hadis Melayu terawal yang menjadi bahan  diskusi dalam artikel ini adalah Hidayat al-habib fi-al-targhib  wa-al-tarhib, karangan Nuruddin al-Raniri. Minimnya kajian tentang  tradisi penulisan karya-karya hadis, termasuk terhadap teks Hidayat  al-habib ini tampaknya sangat dipengaruhi oleh masih terbatasnya akses  terhadap sumber-sumber primer berupa naskah-naskah tulisan tangan  (manuscript) di bidang ini. Hidayat al-habib ditulis pada 6 Syawal 1045  H/14 Maret 1636 M. Kitab ini mengandung 831 buah hadis dari berbagai  sumber, seperti kitab Bukhari, Muslim, Turmudhi, dan lain-lain.DOI: 10.15408/sdi.v19i1.369","container-title":"Studia Islamika","DOI":"10.15408/sdi.v19i1.369","ISSN":"2355-6145","issue":"1","language":"en","license":"Copyright (c)","note":"number: 1","source":"journal.uinjkt.ac.id","title":"The Roots of the Writing Tradition of </w:instrText>
      </w:r>
      <w:r w:rsidRPr="00FB0005">
        <w:rPr>
          <w:rFonts w:ascii="Times New Roman" w:hAnsi="Times New Roman" w:cs="Times New Roman"/>
        </w:rPr>
        <w:instrText>Ḥ</w:instrText>
      </w:r>
      <w:r w:rsidRPr="00FB0005">
        <w:rPr>
          <w:rFonts w:ascii="Garamond" w:hAnsi="Garamond" w:cstheme="majorBidi"/>
        </w:rPr>
        <w:instrText>adīth Works in Nusantara: Hidāyāt al-</w:instrText>
      </w:r>
      <w:r w:rsidRPr="00FB0005">
        <w:rPr>
          <w:rFonts w:ascii="Times New Roman" w:hAnsi="Times New Roman" w:cs="Times New Roman"/>
        </w:rPr>
        <w:instrText>ḥ</w:instrText>
      </w:r>
      <w:r w:rsidRPr="00FB0005">
        <w:rPr>
          <w:rFonts w:ascii="Garamond" w:hAnsi="Garamond" w:cstheme="majorBidi"/>
        </w:rPr>
        <w:instrText xml:space="preserve">abīb by Nūr al-Dīn al-Rānīrī","title-short":"The Roots of the Writing Tradition of </w:instrText>
      </w:r>
      <w:r w:rsidRPr="00FB0005">
        <w:rPr>
          <w:rFonts w:ascii="Times New Roman" w:hAnsi="Times New Roman" w:cs="Times New Roman"/>
        </w:rPr>
        <w:instrText>Ḥ</w:instrText>
      </w:r>
      <w:r w:rsidRPr="00FB0005">
        <w:rPr>
          <w:rFonts w:ascii="Garamond" w:hAnsi="Garamond" w:cstheme="majorBidi"/>
        </w:rPr>
        <w:instrText xml:space="preserve">adīth Works in Nusantara","URL":"https://journal.uinjkt.ac.id/index.php/studia-islamika/article/view/369","volume":"19","author":[{"family":"Fathurahman","given":"Oman"}],"accessed":{"date-parts":[["2024",11,1]]},"issued":{"date-parts":[["2012"]]}},"locator":"48"}],"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Oman Fathurahman, “The Roots of the Writing Tradition of </w:t>
      </w:r>
      <w:r w:rsidRPr="00FB0005">
        <w:rPr>
          <w:rFonts w:ascii="Times New Roman" w:hAnsi="Times New Roman" w:cs="Times New Roman"/>
          <w:szCs w:val="24"/>
        </w:rPr>
        <w:t>Ḥ</w:t>
      </w:r>
      <w:r w:rsidRPr="00FB0005">
        <w:rPr>
          <w:rFonts w:ascii="Garamond" w:hAnsi="Garamond" w:cstheme="majorBidi"/>
          <w:szCs w:val="24"/>
        </w:rPr>
        <w:t>adīth Works in Nusantara: Hidāyāt al-</w:t>
      </w:r>
      <w:r w:rsidRPr="00FB0005">
        <w:rPr>
          <w:rFonts w:ascii="Times New Roman" w:hAnsi="Times New Roman" w:cs="Times New Roman"/>
          <w:szCs w:val="24"/>
        </w:rPr>
        <w:t>Ḥ</w:t>
      </w:r>
      <w:r w:rsidRPr="00FB0005">
        <w:rPr>
          <w:rFonts w:ascii="Garamond" w:hAnsi="Garamond" w:cstheme="majorBidi"/>
          <w:szCs w:val="24"/>
        </w:rPr>
        <w:t xml:space="preserve">abīb by Nūr al-Dīn al-Rānīrī,” </w:t>
      </w:r>
      <w:r w:rsidRPr="00FB0005">
        <w:rPr>
          <w:rFonts w:ascii="Garamond" w:hAnsi="Garamond" w:cstheme="majorBidi"/>
          <w:i/>
          <w:iCs/>
          <w:szCs w:val="24"/>
        </w:rPr>
        <w:t>Studia Islamika</w:t>
      </w:r>
      <w:r w:rsidRPr="00FB0005">
        <w:rPr>
          <w:rFonts w:ascii="Garamond" w:hAnsi="Garamond" w:cstheme="majorBidi"/>
          <w:szCs w:val="24"/>
        </w:rPr>
        <w:t xml:space="preserve"> 19, no. 1 (2012): 48, https://doi.org/10.15408/sdi.v19i1.369.</w:t>
      </w:r>
      <w:r w:rsidRPr="00FB0005">
        <w:rPr>
          <w:rFonts w:ascii="Garamond" w:hAnsi="Garamond" w:cstheme="majorBidi"/>
        </w:rPr>
        <w:fldChar w:fldCharType="end"/>
      </w:r>
    </w:p>
  </w:footnote>
  <w:footnote w:id="2">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rPr>
        <w:t xml:space="preserve"> </w:t>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{"citationID":"FYXXOlKL","properties":{"formattedCitation":"N\\uc0\\u363{}r al-D\\uc0\\u299{}n R\\uc0\\u257{}n\\uc0\\u299{}r\\uc0\\u299{}, {\\i{}Al-fawa\\uc0\\u8217{}id al-bahiyah fi al-ahadith al-nabawiyah: koleksi hadith targhib dan tarhib} (Kuala Kumpur: Dewan Bahasa dan Pustaka, 2009).","plainCitation":"Nūr al-Dīn Rānīrī, Al-fawa’id al-bahiyah fi al-ahadith al-nabawiyah: koleksi hadith targhib dan tarhib (Kuala Kumpur: Dewan Bahasa dan Pustaka, 2009).","dontUpdate":true,"noteIndex":614},"citationItems":[{"id":589,"uris":["http://zotero.org/users/local/n49v5LOV/items/A4YY2DDR"],"itemData":{"id":589,"type":"book","abstract":"Collections of Hadith on Islamic religious life, with criticism and interpretation.","event-place":"Kuala Kumpur","ISBN":"978-983-62-9762-4","language":"ms","note":"Google-Books-ID: GhRPAQAAMAAJ","number-of-pages":"470","publisher":"Dewan Bahasa dan Pustaka","publisher-place":"Kuala Kumpur","source":"Google Books","title":"Al-fawa'id al-bahiyah fi al-ahadith al-nabawiyah: koleksi hadith targhib dan tarhib","title-short":"Al-fawa'id al-bahiyah fi al-ahadith al-nabawiyah","author":[{"family":"Rānīrī","given":"Nūr","dropping-particle":"al-Dīn"}],"issued":{"date-parts":[["2009"]]}}}],"schema":"https://github.com/citation-style-language/schema/raw/master/csl-citation.json"}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Nūr al-Dīn Rānīrī, </w:t>
      </w:r>
      <w:r w:rsidRPr="00FB0005">
        <w:rPr>
          <w:rFonts w:ascii="Garamond" w:hAnsi="Garamond" w:cstheme="majorBidi"/>
          <w:i/>
          <w:iCs/>
          <w:szCs w:val="24"/>
        </w:rPr>
        <w:t>Al-fawa’id al-bahiyah fi al-ahadith al-nabawiyah: koleksi hadith targhib dan tarhib</w:t>
      </w:r>
      <w:r w:rsidRPr="00FB0005">
        <w:rPr>
          <w:rFonts w:ascii="Garamond" w:hAnsi="Garamond" w:cstheme="majorBidi"/>
          <w:szCs w:val="24"/>
        </w:rPr>
        <w:t xml:space="preserve"> (Kuala Kumpur: Dewan Bahasa dan Pustaka, 2009), xiv.</w:t>
      </w:r>
      <w:r w:rsidRPr="00FB0005">
        <w:rPr>
          <w:rFonts w:ascii="Garamond" w:hAnsi="Garamond" w:cstheme="majorBidi"/>
        </w:rPr>
        <w:fldChar w:fldCharType="end"/>
      </w:r>
      <w:r w:rsidRPr="00FB0005">
        <w:rPr>
          <w:rFonts w:ascii="Garamond" w:hAnsi="Garamond" w:cstheme="majorBidi"/>
          <w:rtl/>
        </w:rPr>
        <w:t xml:space="preserve"> </w:t>
      </w:r>
      <w:r w:rsidRPr="00FB0005">
        <w:rPr>
          <w:rFonts w:ascii="Garamond" w:hAnsi="Garamond" w:cstheme="majorBidi"/>
        </w:rPr>
        <w:t xml:space="preserve"> See. </w:t>
      </w:r>
      <w:r w:rsidRPr="00FB0005">
        <w:rPr>
          <w:rFonts w:ascii="Garamond" w:hAnsi="Garamond" w:cstheme="majorBidi"/>
        </w:rPr>
        <w:fldChar w:fldCharType="begin"/>
      </w:r>
      <w:r w:rsidRPr="00FB0005">
        <w:rPr>
          <w:rFonts w:ascii="Garamond" w:hAnsi="Garamond" w:cstheme="majorBidi"/>
        </w:rPr>
        <w:instrText xml:space="preserve"> ADDIN ZOTERO_ITEM CSL_CITATION {"citationID":"3iy5FbN6","properties":{"formattedCitation":"Fathurahman, \\uc0\\u8220{}The Roots of the Writing Tradition of \\uc0\\u7716{}ad\\uc0\\u299{}th Works in Nusantara,\\uc0\\u8221{} 56.","plainCitation":"Fathurahman, “The Roots of the Writing Tradition of </w:instrText>
      </w:r>
      <w:r w:rsidRPr="00FB0005">
        <w:rPr>
          <w:rFonts w:ascii="Times New Roman" w:hAnsi="Times New Roman" w:cs="Times New Roman"/>
        </w:rPr>
        <w:instrText>Ḥ</w:instrText>
      </w:r>
      <w:r w:rsidRPr="00FB0005">
        <w:rPr>
          <w:rFonts w:ascii="Garamond" w:hAnsi="Garamond" w:cstheme="majorBidi"/>
        </w:rPr>
        <w:instrText xml:space="preserve">adīth Works in Nusantara,” 56.","noteIndex":614},"citationItems":[{"id":551,"uris":["http://zotero.org/users/local/n49v5LOV/items/KA9JL3PS"],"itemData":{"id":551,"type":"article-journal","abstract":"Artikel ini mencoba membuktikan bahwa tradisi penulisan kitab-kitab  hadis di kalangan ulama Nusantara tidak 'sesepi' yang dikesankan selama  ini. Meskipun dari segi jumlah memang kalah jauh dibanding bidang  keilmuan lain, terutama tasawuf dan fikih, karya-karya lokal di bidang  hadis, terutama dalam bahasa Melayu, dapat dijumpai, baik berupa  kompilasi utuh sejumlah hadis maupun semata terjemahan dari kitab hadis  berbahasa Arab. Salah satu kitab hadis Melayu terawal yang menjadi bahan  diskusi dalam artikel ini adalah Hidayat al-habib fi-al-targhib  wa-al-tarhib, karangan Nuruddin al-Raniri. Minimnya kajian tentang  tradisi penulisan karya-karya hadis, termasuk terhadap teks Hidayat  al-habib ini tampaknya sangat dipengaruhi oleh masih terbatasnya akses  terhadap sumber-sumber primer berupa naskah-naskah tulisan tangan  (manuscript) di bidang ini. Hidayat al-habib ditulis pada 6 Syawal 1045  H/14 Maret 1636 M. Kitab ini mengandung 831 buah hadis dari berbagai  sumber, seperti kitab Bukhari, Muslim, Turmudhi, dan lain-lain.DOI: 10.15408/sdi.v19i1.369","container-title":"Studia Islamika","DOI":"10.15408/sdi.v19i1.369","ISSN":"2355-6145","issue":"1","language":"en","license":"Copyright (c)","note":"number: 1","source":"journal.uinjkt.ac.id","title":"The Roots of the Writing Tradition of </w:instrText>
      </w:r>
      <w:r w:rsidRPr="00FB0005">
        <w:rPr>
          <w:rFonts w:ascii="Times New Roman" w:hAnsi="Times New Roman" w:cs="Times New Roman"/>
        </w:rPr>
        <w:instrText>Ḥ</w:instrText>
      </w:r>
      <w:r w:rsidRPr="00FB0005">
        <w:rPr>
          <w:rFonts w:ascii="Garamond" w:hAnsi="Garamond" w:cstheme="majorBidi"/>
        </w:rPr>
        <w:instrText>adīth Works in Nusantara: Hidāyāt al-</w:instrText>
      </w:r>
      <w:r w:rsidRPr="00FB0005">
        <w:rPr>
          <w:rFonts w:ascii="Times New Roman" w:hAnsi="Times New Roman" w:cs="Times New Roman"/>
        </w:rPr>
        <w:instrText>ḥ</w:instrText>
      </w:r>
      <w:r w:rsidRPr="00FB0005">
        <w:rPr>
          <w:rFonts w:ascii="Garamond" w:hAnsi="Garamond" w:cstheme="majorBidi"/>
        </w:rPr>
        <w:instrText xml:space="preserve">abīb by Nūr al-Dīn al-Rānīrī","title-short":"The Roots of the Writing Tradition of </w:instrText>
      </w:r>
      <w:r w:rsidRPr="00FB0005">
        <w:rPr>
          <w:rFonts w:ascii="Times New Roman" w:hAnsi="Times New Roman" w:cs="Times New Roman"/>
        </w:rPr>
        <w:instrText>Ḥ</w:instrText>
      </w:r>
      <w:r w:rsidRPr="00FB0005">
        <w:rPr>
          <w:rFonts w:ascii="Garamond" w:hAnsi="Garamond" w:cstheme="majorBidi"/>
        </w:rPr>
        <w:instrText xml:space="preserve">adīth Works in Nusantara","URL":"https://journal.uinjkt.ac.id/index.php/studia-islamika/article/view/369","volume":"19","author":[{"family":"Fathurahman","given":"Oman"}],"accessed":{"date-parts":[["2024",11,1]]},"issued":{"date-parts":[["2012"]]}},"locator":"56"}],"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Fathurahman, “The Roots of the Writing Tradition of </w:t>
      </w:r>
      <w:r w:rsidRPr="00FB0005">
        <w:rPr>
          <w:rFonts w:ascii="Times New Roman" w:hAnsi="Times New Roman" w:cs="Times New Roman"/>
          <w:szCs w:val="24"/>
        </w:rPr>
        <w:t>Ḥ</w:t>
      </w:r>
      <w:r w:rsidRPr="00FB0005">
        <w:rPr>
          <w:rFonts w:ascii="Garamond" w:hAnsi="Garamond" w:cstheme="majorBidi"/>
          <w:szCs w:val="24"/>
        </w:rPr>
        <w:t>adīth Works in Nusantara,” 56.</w:t>
      </w:r>
      <w:r w:rsidRPr="00FB0005">
        <w:rPr>
          <w:rFonts w:ascii="Garamond" w:hAnsi="Garamond" w:cstheme="majorBidi"/>
        </w:rPr>
        <w:fldChar w:fldCharType="end"/>
      </w:r>
      <w:r w:rsidRPr="00FB0005">
        <w:rPr>
          <w:rFonts w:ascii="Garamond" w:hAnsi="Garamond" w:cstheme="majorBidi"/>
        </w:rPr>
        <w:t xml:space="preserve"> See. </w:t>
      </w:r>
      <w:proofErr w:type="spellStart"/>
      <w:proofErr w:type="gramStart"/>
      <w:r w:rsidRPr="00FB0005">
        <w:rPr>
          <w:rFonts w:ascii="Garamond" w:hAnsi="Garamond" w:cstheme="majorBidi"/>
        </w:rPr>
        <w:t>Rānīrī</w:t>
      </w:r>
      <w:proofErr w:type="spellEnd"/>
      <w:r w:rsidRPr="00FB0005">
        <w:rPr>
          <w:rFonts w:ascii="Garamond" w:hAnsi="Garamond" w:cstheme="majorBidi"/>
        </w:rPr>
        <w:t>, Al-</w:t>
      </w:r>
      <w:proofErr w:type="spellStart"/>
      <w:r w:rsidRPr="00FB0005">
        <w:rPr>
          <w:rFonts w:ascii="Garamond" w:hAnsi="Garamond" w:cstheme="majorBidi"/>
        </w:rPr>
        <w:t>fawa’id</w:t>
      </w:r>
      <w:proofErr w:type="spellEnd"/>
      <w:r w:rsidRPr="00FB0005">
        <w:rPr>
          <w:rFonts w:ascii="Garamond" w:hAnsi="Garamond" w:cstheme="majorBidi"/>
        </w:rPr>
        <w:t xml:space="preserve"> al-</w:t>
      </w:r>
      <w:proofErr w:type="spellStart"/>
      <w:r w:rsidRPr="00FB0005">
        <w:rPr>
          <w:rFonts w:ascii="Garamond" w:hAnsi="Garamond" w:cstheme="majorBidi"/>
        </w:rPr>
        <w:t>bahiyah</w:t>
      </w:r>
      <w:proofErr w:type="spellEnd"/>
      <w:r w:rsidRPr="00FB0005">
        <w:rPr>
          <w:rFonts w:ascii="Garamond" w:hAnsi="Garamond" w:cstheme="majorBidi"/>
        </w:rPr>
        <w:t xml:space="preserve"> fi al-</w:t>
      </w:r>
      <w:proofErr w:type="spellStart"/>
      <w:r w:rsidRPr="00FB0005">
        <w:rPr>
          <w:rFonts w:ascii="Garamond" w:hAnsi="Garamond" w:cstheme="majorBidi"/>
        </w:rPr>
        <w:t>ahadith</w:t>
      </w:r>
      <w:proofErr w:type="spellEnd"/>
      <w:r w:rsidRPr="00FB0005">
        <w:rPr>
          <w:rFonts w:ascii="Garamond" w:hAnsi="Garamond" w:cstheme="majorBidi"/>
        </w:rPr>
        <w:t xml:space="preserve"> al-</w:t>
      </w:r>
      <w:proofErr w:type="spellStart"/>
      <w:r w:rsidRPr="00FB0005">
        <w:rPr>
          <w:rFonts w:ascii="Garamond" w:hAnsi="Garamond" w:cstheme="majorBidi"/>
        </w:rPr>
        <w:t>nabawiyah</w:t>
      </w:r>
      <w:proofErr w:type="spellEnd"/>
      <w:r w:rsidRPr="00FB0005">
        <w:rPr>
          <w:rFonts w:ascii="Garamond" w:hAnsi="Garamond" w:cstheme="majorBidi"/>
        </w:rPr>
        <w:t xml:space="preserve">, </w:t>
      </w:r>
      <w:proofErr w:type="spellStart"/>
      <w:r w:rsidRPr="00FB0005">
        <w:rPr>
          <w:rFonts w:ascii="Garamond" w:hAnsi="Garamond" w:cstheme="majorBidi"/>
        </w:rPr>
        <w:t>Perpustakaan</w:t>
      </w:r>
      <w:proofErr w:type="spellEnd"/>
      <w:r w:rsidRPr="00FB0005">
        <w:rPr>
          <w:rFonts w:ascii="Garamond" w:hAnsi="Garamond" w:cstheme="majorBidi"/>
        </w:rPr>
        <w:t xml:space="preserve"> Negara Malaysia (PNM), </w:t>
      </w:r>
      <w:proofErr w:type="spellStart"/>
      <w:r w:rsidRPr="00FB0005">
        <w:rPr>
          <w:rFonts w:ascii="Garamond" w:hAnsi="Garamond" w:cstheme="majorBidi"/>
        </w:rPr>
        <w:t>ms</w:t>
      </w:r>
      <w:proofErr w:type="spellEnd"/>
      <w:r w:rsidRPr="00FB0005">
        <w:rPr>
          <w:rFonts w:ascii="Garamond" w:hAnsi="Garamond" w:cstheme="majorBidi"/>
        </w:rPr>
        <w:t xml:space="preserve"> 1042.</w:t>
      </w:r>
      <w:proofErr w:type="gramEnd"/>
      <w:r w:rsidRPr="00FB0005">
        <w:rPr>
          <w:rFonts w:ascii="Garamond" w:hAnsi="Garamond" w:cstheme="majorBidi"/>
        </w:rPr>
        <w:t xml:space="preserve">   See. </w:t>
      </w:r>
      <w:proofErr w:type="spellStart"/>
      <w:r w:rsidRPr="00FB0005">
        <w:rPr>
          <w:rFonts w:ascii="Garamond" w:hAnsi="Garamond" w:cstheme="majorBidi"/>
        </w:rPr>
        <w:t>Nuruddin</w:t>
      </w:r>
      <w:proofErr w:type="spellEnd"/>
      <w:r w:rsidRPr="00FB0005">
        <w:rPr>
          <w:rFonts w:ascii="Garamond" w:hAnsi="Garamond" w:cstheme="majorBidi"/>
        </w:rPr>
        <w:t xml:space="preserve"> </w:t>
      </w:r>
      <w:proofErr w:type="spellStart"/>
      <w:r w:rsidRPr="00FB0005">
        <w:rPr>
          <w:rFonts w:ascii="Garamond" w:hAnsi="Garamond" w:cstheme="majorBidi"/>
        </w:rPr>
        <w:t>Ar-Raniry</w:t>
      </w:r>
      <w:proofErr w:type="spellEnd"/>
      <w:r w:rsidRPr="00FB0005">
        <w:rPr>
          <w:rFonts w:ascii="Garamond" w:hAnsi="Garamond" w:cstheme="majorBidi"/>
        </w:rPr>
        <w:t xml:space="preserve">, </w:t>
      </w:r>
      <w:proofErr w:type="spellStart"/>
      <w:r w:rsidRPr="00FB0005">
        <w:rPr>
          <w:rFonts w:ascii="Garamond" w:hAnsi="Garamond" w:cstheme="majorBidi"/>
        </w:rPr>
        <w:t>Hadiyatul</w:t>
      </w:r>
      <w:proofErr w:type="spellEnd"/>
      <w:r w:rsidRPr="00FB0005">
        <w:rPr>
          <w:rFonts w:ascii="Garamond" w:hAnsi="Garamond" w:cstheme="majorBidi"/>
        </w:rPr>
        <w:t xml:space="preserve"> </w:t>
      </w:r>
      <w:proofErr w:type="spellStart"/>
      <w:r w:rsidRPr="00FB0005">
        <w:rPr>
          <w:rFonts w:ascii="Garamond" w:hAnsi="Garamond" w:cstheme="majorBidi"/>
        </w:rPr>
        <w:t>Habib</w:t>
      </w:r>
      <w:proofErr w:type="spellEnd"/>
      <w:r w:rsidRPr="00FB0005">
        <w:rPr>
          <w:rFonts w:ascii="Garamond" w:hAnsi="Garamond" w:cstheme="majorBidi"/>
        </w:rPr>
        <w:t xml:space="preserve"> fi </w:t>
      </w:r>
      <w:proofErr w:type="spellStart"/>
      <w:r w:rsidRPr="00FB0005">
        <w:rPr>
          <w:rFonts w:ascii="Garamond" w:hAnsi="Garamond" w:cstheme="majorBidi"/>
        </w:rPr>
        <w:t>Targhib</w:t>
      </w:r>
      <w:proofErr w:type="spellEnd"/>
      <w:r w:rsidRPr="00FB0005">
        <w:rPr>
          <w:rFonts w:ascii="Garamond" w:hAnsi="Garamond" w:cstheme="majorBidi"/>
        </w:rPr>
        <w:t xml:space="preserve"> </w:t>
      </w:r>
      <w:proofErr w:type="spellStart"/>
      <w:r w:rsidRPr="00FB0005">
        <w:rPr>
          <w:rFonts w:ascii="Garamond" w:hAnsi="Garamond" w:cstheme="majorBidi"/>
        </w:rPr>
        <w:t>wa</w:t>
      </w:r>
      <w:proofErr w:type="spellEnd"/>
      <w:r w:rsidRPr="00FB0005">
        <w:rPr>
          <w:rFonts w:ascii="Garamond" w:hAnsi="Garamond" w:cstheme="majorBidi"/>
        </w:rPr>
        <w:t xml:space="preserve"> </w:t>
      </w:r>
      <w:proofErr w:type="spellStart"/>
      <w:r w:rsidRPr="00FB0005">
        <w:rPr>
          <w:rFonts w:ascii="Garamond" w:hAnsi="Garamond" w:cstheme="majorBidi"/>
        </w:rPr>
        <w:t>Tarhib</w:t>
      </w:r>
      <w:proofErr w:type="spellEnd"/>
      <w:r w:rsidRPr="00FB0005">
        <w:rPr>
          <w:rFonts w:ascii="Garamond" w:hAnsi="Garamond" w:cstheme="majorBidi"/>
        </w:rPr>
        <w:t xml:space="preserve">, </w:t>
      </w:r>
      <w:proofErr w:type="spellStart"/>
      <w:r w:rsidRPr="00FB0005">
        <w:rPr>
          <w:rFonts w:ascii="Garamond" w:hAnsi="Garamond" w:cstheme="majorBidi"/>
        </w:rPr>
        <w:t>mss</w:t>
      </w:r>
      <w:proofErr w:type="spellEnd"/>
      <w:r w:rsidRPr="00FB0005">
        <w:rPr>
          <w:rFonts w:ascii="Garamond" w:hAnsi="Garamond" w:cstheme="majorBidi"/>
        </w:rPr>
        <w:t xml:space="preserve"> 2258</w:t>
      </w:r>
    </w:p>
  </w:footnote>
  <w:footnote w:id="3">
    <w:p w:rsidR="004F3629" w:rsidRPr="00FB0005" w:rsidRDefault="004F3629" w:rsidP="005C5D9C">
      <w:pPr>
        <w:pStyle w:val="FootnoteText"/>
        <w:jc w:val="both"/>
        <w:rPr>
          <w:rFonts w:ascii="Garamond" w:hAnsi="Garamond" w:cs="Traditional Arabic"/>
          <w:sz w:val="28"/>
          <w:szCs w:val="28"/>
          <w:rtl/>
          <w:lang w:bidi="ar-EG"/>
        </w:rPr>
      </w:pPr>
      <w:r w:rsidRPr="00FB0005">
        <w:rPr>
          <w:rStyle w:val="FootnoteReference"/>
          <w:rFonts w:ascii="Garamond" w:hAnsi="Garamond"/>
        </w:rPr>
        <w:footnoteRef/>
      </w:r>
      <w:r w:rsidRPr="00FB0005">
        <w:rPr>
          <w:rFonts w:ascii="Garamond" w:hAnsi="Garamond"/>
        </w:rPr>
        <w:t xml:space="preserve"> </w:t>
      </w:r>
      <w:r w:rsidRPr="00FB0005">
        <w:rPr>
          <w:rFonts w:ascii="Garamond" w:hAnsi="Garamond"/>
          <w:rtl/>
          <w:lang w:bidi="ar-EG"/>
        </w:rPr>
        <w:t xml:space="preserve"> </w:t>
      </w:r>
      <w:proofErr w:type="gramStart"/>
      <w:r w:rsidRPr="005C5D9C">
        <w:rPr>
          <w:rFonts w:ascii="Garamond" w:hAnsi="Garamond"/>
          <w:lang w:bidi="ar-EG"/>
        </w:rPr>
        <w:t xml:space="preserve">Ismail </w:t>
      </w:r>
      <w:proofErr w:type="spellStart"/>
      <w:r w:rsidRPr="005C5D9C">
        <w:rPr>
          <w:rFonts w:ascii="Garamond" w:hAnsi="Garamond"/>
          <w:lang w:bidi="ar-EG"/>
        </w:rPr>
        <w:t>ibn</w:t>
      </w:r>
      <w:proofErr w:type="spellEnd"/>
      <w:r w:rsidRPr="005C5D9C">
        <w:rPr>
          <w:rFonts w:ascii="Garamond" w:hAnsi="Garamond"/>
          <w:lang w:bidi="ar-EG"/>
        </w:rPr>
        <w:t xml:space="preserve"> </w:t>
      </w:r>
      <w:proofErr w:type="spellStart"/>
      <w:r>
        <w:rPr>
          <w:rFonts w:ascii="Garamond" w:hAnsi="Garamond"/>
          <w:lang w:bidi="ar-EG"/>
        </w:rPr>
        <w:t>Abd</w:t>
      </w:r>
      <w:proofErr w:type="spellEnd"/>
      <w:r>
        <w:rPr>
          <w:rFonts w:ascii="Garamond" w:hAnsi="Garamond"/>
          <w:lang w:bidi="ar-EG"/>
        </w:rPr>
        <w:t xml:space="preserve"> al-</w:t>
      </w:r>
      <w:proofErr w:type="spellStart"/>
      <w:r>
        <w:rPr>
          <w:rFonts w:ascii="Garamond" w:hAnsi="Garamond"/>
          <w:lang w:bidi="ar-EG"/>
        </w:rPr>
        <w:t>Muttalib</w:t>
      </w:r>
      <w:proofErr w:type="spellEnd"/>
      <w:r>
        <w:rPr>
          <w:rFonts w:ascii="Garamond" w:hAnsi="Garamond"/>
          <w:lang w:bidi="ar-EG"/>
        </w:rPr>
        <w:t xml:space="preserve"> al-</w:t>
      </w:r>
      <w:proofErr w:type="spellStart"/>
      <w:r>
        <w:rPr>
          <w:rFonts w:ascii="Garamond" w:hAnsi="Garamond"/>
          <w:lang w:bidi="ar-EG"/>
        </w:rPr>
        <w:t>Ashi</w:t>
      </w:r>
      <w:proofErr w:type="spellEnd"/>
      <w:r>
        <w:rPr>
          <w:rFonts w:ascii="Garamond" w:hAnsi="Garamond"/>
          <w:lang w:bidi="ar-EG"/>
        </w:rPr>
        <w:t xml:space="preserve">, </w:t>
      </w:r>
      <w:proofErr w:type="spellStart"/>
      <w:r>
        <w:rPr>
          <w:rFonts w:ascii="Garamond" w:hAnsi="Garamond"/>
          <w:lang w:bidi="ar-EG"/>
        </w:rPr>
        <w:t>Jam’ul</w:t>
      </w:r>
      <w:proofErr w:type="spellEnd"/>
      <w:r>
        <w:rPr>
          <w:rFonts w:ascii="Garamond" w:hAnsi="Garamond"/>
          <w:lang w:bidi="ar-EG"/>
        </w:rPr>
        <w:t xml:space="preserve"> al-</w:t>
      </w:r>
      <w:proofErr w:type="spellStart"/>
      <w:r>
        <w:rPr>
          <w:rFonts w:ascii="Garamond" w:hAnsi="Garamond"/>
          <w:lang w:bidi="ar-EG"/>
        </w:rPr>
        <w:t>Jawā</w:t>
      </w:r>
      <w:r w:rsidRPr="005C5D9C">
        <w:rPr>
          <w:rFonts w:ascii="Garamond" w:hAnsi="Garamond"/>
          <w:lang w:bidi="ar-EG"/>
        </w:rPr>
        <w:t>ma</w:t>
      </w:r>
      <w:proofErr w:type="spellEnd"/>
      <w:r>
        <w:rPr>
          <w:rFonts w:ascii="Garamond" w:hAnsi="Garamond"/>
          <w:lang w:bidi="ar-EG"/>
        </w:rPr>
        <w:t>’ al-</w:t>
      </w:r>
      <w:proofErr w:type="spellStart"/>
      <w:r>
        <w:rPr>
          <w:rFonts w:ascii="Garamond" w:hAnsi="Garamond"/>
          <w:lang w:bidi="ar-EG"/>
        </w:rPr>
        <w:t>Mushanafāt</w:t>
      </w:r>
      <w:proofErr w:type="spellEnd"/>
      <w:r>
        <w:rPr>
          <w:rFonts w:ascii="Garamond" w:hAnsi="Garamond"/>
          <w:lang w:bidi="ar-EG"/>
        </w:rPr>
        <w:t>, (</w:t>
      </w:r>
      <w:proofErr w:type="spellStart"/>
      <w:r>
        <w:rPr>
          <w:rFonts w:ascii="Garamond" w:hAnsi="Garamond"/>
          <w:lang w:bidi="ar-EG"/>
        </w:rPr>
        <w:t>Fatāny</w:t>
      </w:r>
      <w:proofErr w:type="spellEnd"/>
      <w:r w:rsidRPr="005C5D9C">
        <w:rPr>
          <w:rFonts w:ascii="Garamond" w:hAnsi="Garamond"/>
          <w:lang w:bidi="ar-EG"/>
        </w:rPr>
        <w:t xml:space="preserve">, </w:t>
      </w:r>
      <w:proofErr w:type="spellStart"/>
      <w:r w:rsidRPr="005C5D9C">
        <w:rPr>
          <w:rFonts w:ascii="Garamond" w:hAnsi="Garamond"/>
          <w:lang w:bidi="ar-EG"/>
        </w:rPr>
        <w:t>Ibn</w:t>
      </w:r>
      <w:proofErr w:type="spellEnd"/>
      <w:r w:rsidRPr="005C5D9C">
        <w:rPr>
          <w:rFonts w:ascii="Garamond" w:hAnsi="Garamond"/>
          <w:lang w:bidi="ar-EG"/>
        </w:rPr>
        <w:t xml:space="preserve"> </w:t>
      </w:r>
      <w:proofErr w:type="spellStart"/>
      <w:r w:rsidRPr="005C5D9C">
        <w:rPr>
          <w:rFonts w:ascii="Garamond" w:hAnsi="Garamond"/>
          <w:lang w:bidi="ar-EG"/>
        </w:rPr>
        <w:t>Halabi</w:t>
      </w:r>
      <w:proofErr w:type="spellEnd"/>
      <w:r w:rsidRPr="005C5D9C">
        <w:rPr>
          <w:rFonts w:ascii="Garamond" w:hAnsi="Garamond"/>
          <w:lang w:bidi="ar-EG"/>
        </w:rPr>
        <w:t xml:space="preserve"> Press, D.T.), 56.</w:t>
      </w:r>
      <w:proofErr w:type="gramEnd"/>
    </w:p>
  </w:footnote>
  <w:footnote w:id="4">
    <w:p w:rsidR="004F3629" w:rsidRPr="00FB0005" w:rsidRDefault="004F3629" w:rsidP="00FB14E1">
      <w:pPr>
        <w:pStyle w:val="FootnoteText"/>
        <w:rPr>
          <w:rFonts w:ascii="Garamond" w:hAnsi="Garamond"/>
          <w:rtl/>
          <w:lang w:bidi="ar-EG"/>
        </w:rPr>
      </w:pPr>
      <w:r w:rsidRPr="00FB0005">
        <w:rPr>
          <w:rStyle w:val="FootnoteReference"/>
          <w:rFonts w:ascii="Garamond" w:hAnsi="Garamond"/>
        </w:rPr>
        <w:footnoteRef/>
      </w:r>
      <w:r w:rsidRPr="00FB0005">
        <w:rPr>
          <w:rFonts w:ascii="Garamond" w:hAnsi="Garamond"/>
        </w:rPr>
        <w:t xml:space="preserve"> </w:t>
      </w:r>
      <w:r>
        <w:rPr>
          <w:rFonts w:ascii="Garamond" w:hAnsi="Garamond"/>
        </w:rPr>
        <w:t xml:space="preserve"> </w:t>
      </w:r>
      <w:proofErr w:type="spellStart"/>
      <w:r w:rsidRPr="00FB0005">
        <w:rPr>
          <w:rFonts w:ascii="Garamond" w:hAnsi="Garamond"/>
        </w:rPr>
        <w:t>Deliar</w:t>
      </w:r>
      <w:proofErr w:type="spellEnd"/>
      <w:r w:rsidRPr="00FB0005">
        <w:rPr>
          <w:rFonts w:ascii="Garamond" w:hAnsi="Garamond"/>
        </w:rPr>
        <w:t xml:space="preserve"> </w:t>
      </w:r>
      <w:proofErr w:type="spellStart"/>
      <w:r w:rsidRPr="00FB0005">
        <w:rPr>
          <w:rFonts w:ascii="Garamond" w:hAnsi="Garamond"/>
        </w:rPr>
        <w:t>Noer</w:t>
      </w:r>
      <w:proofErr w:type="spellEnd"/>
      <w:r w:rsidRPr="00FB0005">
        <w:rPr>
          <w:rFonts w:ascii="Garamond" w:hAnsi="Garamond"/>
        </w:rPr>
        <w:t xml:space="preserve">, </w:t>
      </w:r>
      <w:proofErr w:type="spellStart"/>
      <w:r w:rsidRPr="00FB0005">
        <w:rPr>
          <w:rFonts w:ascii="Garamond" w:hAnsi="Garamond"/>
          <w:i/>
          <w:iCs/>
        </w:rPr>
        <w:t>Gerakan</w:t>
      </w:r>
      <w:proofErr w:type="spellEnd"/>
      <w:r w:rsidRPr="00FB0005">
        <w:rPr>
          <w:rFonts w:ascii="Garamond" w:hAnsi="Garamond"/>
          <w:i/>
          <w:iCs/>
        </w:rPr>
        <w:t xml:space="preserve"> </w:t>
      </w:r>
      <w:proofErr w:type="spellStart"/>
      <w:r w:rsidRPr="00FB0005">
        <w:rPr>
          <w:rFonts w:ascii="Garamond" w:hAnsi="Garamond"/>
          <w:i/>
          <w:iCs/>
        </w:rPr>
        <w:t>Moderen</w:t>
      </w:r>
      <w:proofErr w:type="spellEnd"/>
      <w:r w:rsidRPr="00FB0005">
        <w:rPr>
          <w:rFonts w:ascii="Garamond" w:hAnsi="Garamond"/>
          <w:i/>
          <w:iCs/>
        </w:rPr>
        <w:t xml:space="preserve"> Islam Di Indonesia 1900-1942</w:t>
      </w:r>
      <w:r w:rsidRPr="00FB0005">
        <w:rPr>
          <w:rFonts w:ascii="Garamond" w:hAnsi="Garamond"/>
        </w:rPr>
        <w:t xml:space="preserve"> (Jakarta: LP3ES, 1996), 7.</w:t>
      </w:r>
    </w:p>
  </w:footnote>
  <w:footnote w:id="5">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cstheme="majorBidi"/>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{"citationID":"aia20dg822","properties":{"formattedCitation":"\\uldash{Mahmud Yunus, {\\i{}Sejarah Pendidikan Islam Di Indonesia} (Jakarta: Mutiara, 1979), 120.}","plainCitation":"Mahmud Yunus, Sejarah Pendidikan Islam Di Indonesia (Jakarta: Mutiara, 1979), 120.","dontUpdate":true,"noteIndex":1022},"citationItems":[{"id":1039,"uris":["http://zotero.org/users/local/n49v5LOV/items/3JD6BLVA"],"itemData":{"id":1039,"type":"book","event-place":"Jakarta","publisher":"Mutiara","publisher-place":"Jakarta","title":"Sejarah Pendidikan Islam di Indonesia","author":[{"family":"Yunus","given":"Mahmud"}],"issued":{"date-parts":[["1979"]]}},"locator":"120"}],"schema":"https://github.com/citation-style-language/schema/raw/master/csl-citation.json"}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Mahmud Yunus, </w:t>
      </w:r>
      <w:r w:rsidRPr="00FB0005">
        <w:rPr>
          <w:rFonts w:ascii="Garamond" w:hAnsi="Garamond" w:cstheme="majorBidi"/>
          <w:i/>
          <w:iCs/>
          <w:szCs w:val="24"/>
        </w:rPr>
        <w:t>Sejarah Pendidikan Islam Di Indonesia</w:t>
      </w:r>
      <w:r w:rsidRPr="00FB0005">
        <w:rPr>
          <w:rFonts w:ascii="Garamond" w:hAnsi="Garamond" w:cstheme="majorBidi"/>
          <w:szCs w:val="24"/>
        </w:rPr>
        <w:t>, 120.</w:t>
      </w:r>
      <w:r w:rsidRPr="00FB0005">
        <w:rPr>
          <w:rFonts w:ascii="Garamond" w:hAnsi="Garamond" w:cstheme="majorBidi"/>
        </w:rPr>
        <w:fldChar w:fldCharType="end"/>
      </w:r>
      <w:r w:rsidRPr="00FB0005">
        <w:rPr>
          <w:rFonts w:ascii="Garamond" w:hAnsi="Garamond" w:cstheme="majorBidi"/>
        </w:rPr>
        <w:t xml:space="preserve"> See. Directorate General of Islamic Education of the Ministry of Religious Affairs of the Republic of Indonesia, PTKI Curriculum Development Guidelines Referring to KKNI and SN-</w:t>
      </w:r>
      <w:proofErr w:type="spellStart"/>
      <w:r w:rsidRPr="00FB0005">
        <w:rPr>
          <w:rFonts w:ascii="Garamond" w:hAnsi="Garamond" w:cstheme="majorBidi"/>
        </w:rPr>
        <w:t>Dikti</w:t>
      </w:r>
      <w:proofErr w:type="spellEnd"/>
      <w:r w:rsidRPr="00FB0005">
        <w:rPr>
          <w:rFonts w:ascii="Garamond" w:hAnsi="Garamond" w:cstheme="majorBidi"/>
        </w:rPr>
        <w:t xml:space="preserve">, (Jakarta: </w:t>
      </w:r>
      <w:proofErr w:type="spellStart"/>
      <w:r w:rsidRPr="00FB0005">
        <w:rPr>
          <w:rFonts w:ascii="Garamond" w:hAnsi="Garamond" w:cstheme="majorBidi"/>
        </w:rPr>
        <w:t>Direktur</w:t>
      </w:r>
      <w:proofErr w:type="spellEnd"/>
      <w:r w:rsidRPr="00FB0005">
        <w:rPr>
          <w:rFonts w:ascii="Garamond" w:hAnsi="Garamond" w:cstheme="majorBidi"/>
        </w:rPr>
        <w:t xml:space="preserve"> </w:t>
      </w:r>
      <w:proofErr w:type="spellStart"/>
      <w:r w:rsidRPr="00FB0005">
        <w:rPr>
          <w:rFonts w:ascii="Garamond" w:hAnsi="Garamond" w:cstheme="majorBidi"/>
        </w:rPr>
        <w:t>Jenderal</w:t>
      </w:r>
      <w:proofErr w:type="spellEnd"/>
      <w:r w:rsidRPr="00FB0005">
        <w:rPr>
          <w:rFonts w:ascii="Garamond" w:hAnsi="Garamond" w:cstheme="majorBidi"/>
        </w:rPr>
        <w:t xml:space="preserve"> </w:t>
      </w:r>
      <w:proofErr w:type="spellStart"/>
      <w:r w:rsidRPr="00FB0005">
        <w:rPr>
          <w:rFonts w:ascii="Garamond" w:hAnsi="Garamond" w:cstheme="majorBidi"/>
        </w:rPr>
        <w:t>Pendidikan</w:t>
      </w:r>
      <w:proofErr w:type="spellEnd"/>
      <w:r w:rsidRPr="00FB0005">
        <w:rPr>
          <w:rFonts w:ascii="Garamond" w:hAnsi="Garamond" w:cstheme="majorBidi"/>
        </w:rPr>
        <w:t xml:space="preserve"> Islam, 2018), 31</w:t>
      </w:r>
    </w:p>
  </w:footnote>
  <w:footnote w:id="6">
    <w:p w:rsidR="004F3629" w:rsidRPr="00FB0005" w:rsidRDefault="004F3629" w:rsidP="00853AA0">
      <w:pPr>
        <w:pStyle w:val="FootnoteText"/>
        <w:jc w:val="both"/>
        <w:rPr>
          <w:rFonts w:ascii="Garamond" w:hAnsi="Garamond" w:cstheme="majorBidi"/>
        </w:rPr>
      </w:pPr>
      <w:r w:rsidRPr="00FB0005">
        <w:rPr>
          <w:rStyle w:val="FootnoteReference"/>
          <w:rFonts w:ascii="Garamond" w:hAnsi="Garamond" w:cstheme="majorBidi"/>
        </w:rPr>
        <w:footnoteRef/>
      </w:r>
      <w:r w:rsidRPr="00FB0005">
        <w:rPr>
          <w:rFonts w:ascii="Garamond" w:hAnsi="Garamond" w:cstheme="majorBidi"/>
        </w:rPr>
        <w:t xml:space="preserve"> M. Amin Abdullah, “</w:t>
      </w:r>
      <w:proofErr w:type="spellStart"/>
      <w:r w:rsidRPr="00FB0005">
        <w:rPr>
          <w:rFonts w:ascii="Garamond" w:hAnsi="Garamond" w:cstheme="majorBidi"/>
        </w:rPr>
        <w:t>Bentuk</w:t>
      </w:r>
      <w:proofErr w:type="spellEnd"/>
      <w:r w:rsidRPr="00FB0005">
        <w:rPr>
          <w:rFonts w:ascii="Garamond" w:hAnsi="Garamond" w:cstheme="majorBidi"/>
        </w:rPr>
        <w:t xml:space="preserve"> Ideal </w:t>
      </w:r>
      <w:proofErr w:type="spellStart"/>
      <w:r w:rsidRPr="00FB0005">
        <w:rPr>
          <w:rFonts w:ascii="Garamond" w:hAnsi="Garamond" w:cstheme="majorBidi"/>
        </w:rPr>
        <w:t>Jurusan</w:t>
      </w:r>
      <w:proofErr w:type="spellEnd"/>
      <w:r w:rsidRPr="00FB0005">
        <w:rPr>
          <w:rFonts w:ascii="Garamond" w:hAnsi="Garamond" w:cstheme="majorBidi"/>
        </w:rPr>
        <w:t xml:space="preserve"> TH (</w:t>
      </w:r>
      <w:proofErr w:type="spellStart"/>
      <w:r w:rsidRPr="00FB0005">
        <w:rPr>
          <w:rFonts w:ascii="Garamond" w:hAnsi="Garamond" w:cstheme="majorBidi"/>
        </w:rPr>
        <w:t>Tafsir</w:t>
      </w:r>
      <w:proofErr w:type="spellEnd"/>
      <w:r w:rsidRPr="00FB0005">
        <w:rPr>
          <w:rFonts w:ascii="Garamond" w:hAnsi="Garamond" w:cstheme="majorBidi"/>
        </w:rPr>
        <w:t xml:space="preserve"> </w:t>
      </w:r>
      <w:proofErr w:type="spellStart"/>
      <w:r w:rsidRPr="00FB0005">
        <w:rPr>
          <w:rFonts w:ascii="Garamond" w:hAnsi="Garamond" w:cstheme="majorBidi"/>
        </w:rPr>
        <w:t>Hadist</w:t>
      </w:r>
      <w:proofErr w:type="spellEnd"/>
      <w:r w:rsidRPr="00FB0005">
        <w:rPr>
          <w:rFonts w:ascii="Garamond" w:hAnsi="Garamond" w:cstheme="majorBidi"/>
        </w:rPr>
        <w:t xml:space="preserve">) </w:t>
      </w:r>
      <w:proofErr w:type="spellStart"/>
      <w:r w:rsidRPr="00FB0005">
        <w:rPr>
          <w:rFonts w:ascii="Garamond" w:hAnsi="Garamond" w:cstheme="majorBidi"/>
        </w:rPr>
        <w:t>Fakultas</w:t>
      </w:r>
      <w:proofErr w:type="spellEnd"/>
      <w:r w:rsidRPr="00FB0005">
        <w:rPr>
          <w:rFonts w:ascii="Garamond" w:hAnsi="Garamond" w:cstheme="majorBidi"/>
        </w:rPr>
        <w:t xml:space="preserve"> </w:t>
      </w:r>
      <w:proofErr w:type="spellStart"/>
      <w:r w:rsidRPr="00FB0005">
        <w:rPr>
          <w:rFonts w:ascii="Garamond" w:hAnsi="Garamond" w:cstheme="majorBidi"/>
        </w:rPr>
        <w:t>Ushuluddin</w:t>
      </w:r>
      <w:proofErr w:type="spellEnd"/>
      <w:r w:rsidRPr="00FB0005">
        <w:rPr>
          <w:rFonts w:ascii="Garamond" w:hAnsi="Garamond" w:cstheme="majorBidi"/>
        </w:rPr>
        <w:t xml:space="preserve"> IAIN </w:t>
      </w:r>
      <w:proofErr w:type="spellStart"/>
      <w:r w:rsidRPr="00FB0005">
        <w:rPr>
          <w:rFonts w:ascii="Garamond" w:hAnsi="Garamond" w:cstheme="majorBidi"/>
        </w:rPr>
        <w:t>Sunan</w:t>
      </w:r>
      <w:proofErr w:type="spellEnd"/>
      <w:r w:rsidRPr="00FB0005">
        <w:rPr>
          <w:rFonts w:ascii="Garamond" w:hAnsi="Garamond" w:cstheme="majorBidi"/>
        </w:rPr>
        <w:t xml:space="preserve"> </w:t>
      </w:r>
      <w:proofErr w:type="spellStart"/>
      <w:r w:rsidRPr="00FB0005">
        <w:rPr>
          <w:rFonts w:ascii="Garamond" w:hAnsi="Garamond" w:cstheme="majorBidi"/>
        </w:rPr>
        <w:t>Kalijaga</w:t>
      </w:r>
      <w:proofErr w:type="spellEnd"/>
      <w:r w:rsidRPr="00FB0005">
        <w:rPr>
          <w:rFonts w:ascii="Garamond" w:hAnsi="Garamond" w:cstheme="majorBidi"/>
        </w:rPr>
        <w:t>,” Al-</w:t>
      </w:r>
      <w:proofErr w:type="spellStart"/>
      <w:r w:rsidRPr="00FB0005">
        <w:rPr>
          <w:rFonts w:ascii="Garamond" w:hAnsi="Garamond" w:cstheme="majorBidi"/>
        </w:rPr>
        <w:t>Jami’ah</w:t>
      </w:r>
      <w:proofErr w:type="spellEnd"/>
      <w:r w:rsidRPr="00FB0005">
        <w:rPr>
          <w:rFonts w:ascii="Garamond" w:hAnsi="Garamond" w:cstheme="majorBidi"/>
        </w:rPr>
        <w:t>: Journal of Islamic Studies, no. 47 (1991): 95, https://doi.org/10.14421/ajis.1991.047.90-96</w:t>
      </w:r>
    </w:p>
  </w:footnote>
  <w:footnote w:id="7">
    <w:p w:rsidR="004F3629" w:rsidRPr="00FB0005" w:rsidRDefault="004F3629" w:rsidP="00FB14E1">
      <w:pPr>
        <w:pStyle w:val="FootnoteText"/>
        <w:jc w:val="both"/>
        <w:rPr>
          <w:rFonts w:ascii="Garamond" w:hAnsi="Garamond"/>
          <w:lang w:bidi="ar-EG"/>
        </w:rPr>
      </w:pPr>
      <w:r w:rsidRPr="00FB0005">
        <w:rPr>
          <w:rStyle w:val="FootnoteReference"/>
          <w:rFonts w:ascii="Garamond" w:hAnsi="Garamond"/>
        </w:rPr>
        <w:footnoteRef/>
      </w:r>
      <w:r w:rsidRPr="00FB0005">
        <w:rPr>
          <w:rFonts w:ascii="Garamond" w:hAnsi="Garamond"/>
        </w:rPr>
        <w:t xml:space="preserve"> Hamid </w:t>
      </w:r>
      <w:proofErr w:type="spellStart"/>
      <w:r w:rsidRPr="00FB0005">
        <w:rPr>
          <w:rFonts w:ascii="Garamond" w:hAnsi="Garamond"/>
        </w:rPr>
        <w:t>Fahmy</w:t>
      </w:r>
      <w:proofErr w:type="spellEnd"/>
      <w:r w:rsidRPr="00FB0005">
        <w:rPr>
          <w:rFonts w:ascii="Garamond" w:hAnsi="Garamond"/>
        </w:rPr>
        <w:t xml:space="preserve"> </w:t>
      </w:r>
      <w:proofErr w:type="spellStart"/>
      <w:r w:rsidRPr="00FB0005">
        <w:rPr>
          <w:rFonts w:ascii="Garamond" w:hAnsi="Garamond"/>
        </w:rPr>
        <w:t>Zarkasyi</w:t>
      </w:r>
      <w:proofErr w:type="spellEnd"/>
      <w:r w:rsidRPr="00FB0005">
        <w:rPr>
          <w:rFonts w:ascii="Garamond" w:hAnsi="Garamond"/>
        </w:rPr>
        <w:t xml:space="preserve"> et al., Seminar </w:t>
      </w:r>
      <w:proofErr w:type="spellStart"/>
      <w:r w:rsidRPr="00FB0005">
        <w:rPr>
          <w:rFonts w:ascii="Garamond" w:hAnsi="Garamond"/>
        </w:rPr>
        <w:t>Sehari</w:t>
      </w:r>
      <w:proofErr w:type="spellEnd"/>
      <w:r w:rsidRPr="00FB0005">
        <w:rPr>
          <w:rFonts w:ascii="Garamond" w:hAnsi="Garamond"/>
        </w:rPr>
        <w:t xml:space="preserve">: </w:t>
      </w:r>
      <w:proofErr w:type="spellStart"/>
      <w:r w:rsidRPr="00FB0005">
        <w:rPr>
          <w:rFonts w:ascii="Garamond" w:hAnsi="Garamond"/>
        </w:rPr>
        <w:t>Hermeneutika</w:t>
      </w:r>
      <w:proofErr w:type="spellEnd"/>
      <w:r w:rsidRPr="00FB0005">
        <w:rPr>
          <w:rFonts w:ascii="Garamond" w:hAnsi="Garamond"/>
        </w:rPr>
        <w:t xml:space="preserve">, </w:t>
      </w:r>
      <w:proofErr w:type="spellStart"/>
      <w:r w:rsidRPr="00FB0005">
        <w:rPr>
          <w:rFonts w:ascii="Garamond" w:hAnsi="Garamond"/>
        </w:rPr>
        <w:t>Tafsir</w:t>
      </w:r>
      <w:proofErr w:type="spellEnd"/>
      <w:r w:rsidRPr="00FB0005">
        <w:rPr>
          <w:rFonts w:ascii="Garamond" w:hAnsi="Garamond"/>
        </w:rPr>
        <w:t xml:space="preserve"> Dan </w:t>
      </w:r>
      <w:proofErr w:type="spellStart"/>
      <w:r w:rsidRPr="00FB0005">
        <w:rPr>
          <w:rFonts w:ascii="Garamond" w:hAnsi="Garamond"/>
        </w:rPr>
        <w:t>Wolrdview</w:t>
      </w:r>
      <w:proofErr w:type="spellEnd"/>
      <w:r w:rsidRPr="00FB0005">
        <w:rPr>
          <w:rFonts w:ascii="Garamond" w:hAnsi="Garamond"/>
        </w:rPr>
        <w:t xml:space="preserve"> (Jakarta: INSISTS, 2023), 16.</w:t>
      </w:r>
      <w:r w:rsidRPr="00FB0005">
        <w:rPr>
          <w:rFonts w:ascii="Garamond" w:hAnsi="Garamond"/>
          <w:rtl/>
        </w:rPr>
        <w:t xml:space="preserve"> </w:t>
      </w:r>
      <w:r w:rsidRPr="00FB0005">
        <w:rPr>
          <w:rFonts w:ascii="Garamond" w:hAnsi="Garamond"/>
        </w:rPr>
        <w:t xml:space="preserve"> See.  Abdurrahman al-Baghdadi and </w:t>
      </w:r>
      <w:proofErr w:type="spellStart"/>
      <w:r w:rsidRPr="00FB0005">
        <w:rPr>
          <w:rFonts w:ascii="Garamond" w:hAnsi="Garamond"/>
        </w:rPr>
        <w:t>Adian</w:t>
      </w:r>
      <w:proofErr w:type="spellEnd"/>
      <w:r w:rsidRPr="00FB0005">
        <w:rPr>
          <w:rFonts w:ascii="Garamond" w:hAnsi="Garamond"/>
        </w:rPr>
        <w:t xml:space="preserve"> </w:t>
      </w:r>
      <w:proofErr w:type="spellStart"/>
      <w:r w:rsidRPr="00FB0005">
        <w:rPr>
          <w:rFonts w:ascii="Garamond" w:hAnsi="Garamond"/>
        </w:rPr>
        <w:t>Husaini</w:t>
      </w:r>
      <w:proofErr w:type="spellEnd"/>
      <w:r w:rsidRPr="00FB0005">
        <w:rPr>
          <w:rFonts w:ascii="Garamond" w:hAnsi="Garamond"/>
        </w:rPr>
        <w:t xml:space="preserve">, </w:t>
      </w:r>
      <w:proofErr w:type="spellStart"/>
      <w:r w:rsidRPr="00FB0005">
        <w:rPr>
          <w:rFonts w:ascii="Garamond" w:hAnsi="Garamond"/>
        </w:rPr>
        <w:t>Hermeneutika</w:t>
      </w:r>
      <w:proofErr w:type="spellEnd"/>
      <w:r w:rsidRPr="00FB0005">
        <w:rPr>
          <w:rFonts w:ascii="Garamond" w:hAnsi="Garamond"/>
        </w:rPr>
        <w:t xml:space="preserve"> &amp; </w:t>
      </w:r>
      <w:proofErr w:type="spellStart"/>
      <w:r w:rsidRPr="00FB0005">
        <w:rPr>
          <w:rFonts w:ascii="Garamond" w:hAnsi="Garamond"/>
        </w:rPr>
        <w:t>Tafsir</w:t>
      </w:r>
      <w:proofErr w:type="spellEnd"/>
      <w:r w:rsidRPr="00FB0005">
        <w:rPr>
          <w:rFonts w:ascii="Garamond" w:hAnsi="Garamond"/>
        </w:rPr>
        <w:t xml:space="preserve"> Al Quran (</w:t>
      </w:r>
      <w:proofErr w:type="spellStart"/>
      <w:r w:rsidRPr="00FB0005">
        <w:rPr>
          <w:rFonts w:ascii="Garamond" w:hAnsi="Garamond"/>
        </w:rPr>
        <w:t>Depok</w:t>
      </w:r>
      <w:proofErr w:type="spellEnd"/>
      <w:r w:rsidRPr="00FB0005">
        <w:rPr>
          <w:rFonts w:ascii="Garamond" w:hAnsi="Garamond"/>
        </w:rPr>
        <w:t xml:space="preserve">: </w:t>
      </w:r>
      <w:proofErr w:type="spellStart"/>
      <w:r w:rsidRPr="00FB0005">
        <w:rPr>
          <w:rFonts w:ascii="Garamond" w:hAnsi="Garamond"/>
        </w:rPr>
        <w:t>Gema</w:t>
      </w:r>
      <w:proofErr w:type="spellEnd"/>
      <w:r w:rsidRPr="00FB0005">
        <w:rPr>
          <w:rFonts w:ascii="Garamond" w:hAnsi="Garamond"/>
        </w:rPr>
        <w:t xml:space="preserve"> </w:t>
      </w:r>
      <w:proofErr w:type="spellStart"/>
      <w:r w:rsidRPr="00FB0005">
        <w:rPr>
          <w:rFonts w:ascii="Garamond" w:hAnsi="Garamond"/>
        </w:rPr>
        <w:t>Insani</w:t>
      </w:r>
      <w:proofErr w:type="spellEnd"/>
      <w:r w:rsidRPr="00FB0005">
        <w:rPr>
          <w:rFonts w:ascii="Garamond" w:hAnsi="Garamond"/>
        </w:rPr>
        <w:t xml:space="preserve">, 2007), 1. </w:t>
      </w:r>
    </w:p>
  </w:footnote>
  <w:footnote w:id="8">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rPr>
        <w:t xml:space="preserve"> </w:t>
      </w:r>
      <w:proofErr w:type="spellStart"/>
      <w:r w:rsidRPr="00FB0005">
        <w:rPr>
          <w:rFonts w:ascii="Garamond" w:hAnsi="Garamond"/>
        </w:rPr>
        <w:t>Saifuddin</w:t>
      </w:r>
      <w:proofErr w:type="spellEnd"/>
      <w:r w:rsidRPr="00FB0005">
        <w:rPr>
          <w:rFonts w:ascii="Garamond" w:hAnsi="Garamond"/>
        </w:rPr>
        <w:t xml:space="preserve"> </w:t>
      </w:r>
      <w:proofErr w:type="spellStart"/>
      <w:r w:rsidRPr="00FB0005">
        <w:rPr>
          <w:rFonts w:ascii="Garamond" w:hAnsi="Garamond"/>
        </w:rPr>
        <w:t>Zuhri</w:t>
      </w:r>
      <w:proofErr w:type="spellEnd"/>
      <w:r w:rsidRPr="00FB0005">
        <w:rPr>
          <w:rFonts w:ascii="Garamond" w:hAnsi="Garamond"/>
        </w:rPr>
        <w:t xml:space="preserve"> </w:t>
      </w:r>
      <w:proofErr w:type="spellStart"/>
      <w:r w:rsidRPr="00FB0005">
        <w:rPr>
          <w:rFonts w:ascii="Garamond" w:hAnsi="Garamond"/>
        </w:rPr>
        <w:t>Qudsy</w:t>
      </w:r>
      <w:proofErr w:type="spellEnd"/>
      <w:r w:rsidRPr="00FB0005">
        <w:rPr>
          <w:rFonts w:ascii="Garamond" w:hAnsi="Garamond"/>
        </w:rPr>
        <w:t xml:space="preserve"> et al., “The Making of Living </w:t>
      </w:r>
      <w:proofErr w:type="spellStart"/>
      <w:r w:rsidRPr="00FB0005">
        <w:rPr>
          <w:rFonts w:ascii="Times New Roman" w:hAnsi="Times New Roman" w:cs="Times New Roman"/>
        </w:rPr>
        <w:t>Ḥ</w:t>
      </w:r>
      <w:r w:rsidRPr="00FB0005">
        <w:rPr>
          <w:rFonts w:ascii="Garamond" w:hAnsi="Garamond"/>
        </w:rPr>
        <w:t>adīth</w:t>
      </w:r>
      <w:proofErr w:type="spellEnd"/>
      <w:r w:rsidRPr="00FB0005">
        <w:rPr>
          <w:rFonts w:ascii="Garamond" w:hAnsi="Garamond"/>
        </w:rPr>
        <w:t xml:space="preserve">: A New Direction of </w:t>
      </w:r>
      <w:proofErr w:type="spellStart"/>
      <w:r w:rsidRPr="00FB0005">
        <w:rPr>
          <w:rFonts w:ascii="Times New Roman" w:hAnsi="Times New Roman" w:cs="Times New Roman"/>
        </w:rPr>
        <w:t>Ḥ</w:t>
      </w:r>
      <w:r w:rsidRPr="00FB0005">
        <w:rPr>
          <w:rFonts w:ascii="Garamond" w:hAnsi="Garamond"/>
        </w:rPr>
        <w:t>adīth</w:t>
      </w:r>
      <w:proofErr w:type="spellEnd"/>
      <w:r w:rsidRPr="00FB0005">
        <w:rPr>
          <w:rFonts w:ascii="Garamond" w:hAnsi="Garamond"/>
        </w:rPr>
        <w:t xml:space="preserve"> Studies in Indonesia,” Culture and Religion 23, no. 4 (October 2, 2023): 6, https://doi.org/10.1080/14755610.2024.2336461.</w:t>
      </w:r>
    </w:p>
  </w:footnote>
  <w:footnote w:id="9">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rPr>
        <w:t xml:space="preserve"> </w:t>
      </w:r>
      <w:proofErr w:type="spellStart"/>
      <w:r w:rsidRPr="00FB0005">
        <w:rPr>
          <w:rFonts w:ascii="Garamond" w:hAnsi="Garamond"/>
        </w:rPr>
        <w:t>Norsaleha</w:t>
      </w:r>
      <w:proofErr w:type="spellEnd"/>
      <w:r w:rsidRPr="00FB0005">
        <w:rPr>
          <w:rFonts w:ascii="Garamond" w:hAnsi="Garamond"/>
        </w:rPr>
        <w:t xml:space="preserve"> </w:t>
      </w:r>
      <w:proofErr w:type="spellStart"/>
      <w:r w:rsidRPr="00FB0005">
        <w:rPr>
          <w:rFonts w:ascii="Garamond" w:hAnsi="Garamond"/>
        </w:rPr>
        <w:t>Mohd</w:t>
      </w:r>
      <w:proofErr w:type="spellEnd"/>
      <w:r w:rsidRPr="00FB0005">
        <w:rPr>
          <w:rFonts w:ascii="Garamond" w:hAnsi="Garamond"/>
        </w:rPr>
        <w:t xml:space="preserve"> </w:t>
      </w:r>
      <w:proofErr w:type="spellStart"/>
      <w:r w:rsidRPr="00FB0005">
        <w:rPr>
          <w:rFonts w:ascii="Garamond" w:hAnsi="Garamond"/>
        </w:rPr>
        <w:t>Salleh</w:t>
      </w:r>
      <w:proofErr w:type="spellEnd"/>
      <w:r w:rsidRPr="00FB0005">
        <w:rPr>
          <w:rFonts w:ascii="Garamond" w:hAnsi="Garamond"/>
        </w:rPr>
        <w:t xml:space="preserve"> et al.</w:t>
      </w:r>
      <w:proofErr w:type="gramStart"/>
      <w:r w:rsidRPr="00FB0005">
        <w:rPr>
          <w:rFonts w:ascii="Garamond" w:hAnsi="Garamond"/>
        </w:rPr>
        <w:t>,,</w:t>
      </w:r>
      <w:proofErr w:type="gramEnd"/>
      <w:r w:rsidRPr="00FB0005">
        <w:rPr>
          <w:rFonts w:ascii="Garamond" w:hAnsi="Garamond"/>
        </w:rPr>
        <w:t xml:space="preserve"> “Living Hadith As A Social Cultural Phenomenon Of Indonesia: A Systematic Review Of The Literature”, Humanities &amp; Social Sciences Reviews 6, (2020-01-07): 7, https://10.18510/hssr.2019.76161.</w:t>
      </w:r>
    </w:p>
  </w:footnote>
  <w:footnote w:id="10">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rPr>
        <w:t xml:space="preserve"> Muhammad </w:t>
      </w:r>
      <w:proofErr w:type="spellStart"/>
      <w:r w:rsidRPr="00FB0005">
        <w:rPr>
          <w:rFonts w:ascii="Garamond" w:hAnsi="Garamond"/>
        </w:rPr>
        <w:t>Alfatih</w:t>
      </w:r>
      <w:proofErr w:type="spellEnd"/>
      <w:r w:rsidRPr="00FB0005">
        <w:rPr>
          <w:rFonts w:ascii="Garamond" w:hAnsi="Garamond"/>
        </w:rPr>
        <w:t xml:space="preserve"> </w:t>
      </w:r>
      <w:proofErr w:type="spellStart"/>
      <w:r w:rsidRPr="00FB0005">
        <w:rPr>
          <w:rFonts w:ascii="Garamond" w:hAnsi="Garamond"/>
        </w:rPr>
        <w:t>Suryadilaga</w:t>
      </w:r>
      <w:proofErr w:type="spellEnd"/>
      <w:r w:rsidRPr="00FB0005">
        <w:rPr>
          <w:rFonts w:ascii="Garamond" w:hAnsi="Garamond"/>
        </w:rPr>
        <w:t>, “</w:t>
      </w:r>
      <w:proofErr w:type="spellStart"/>
      <w:r w:rsidRPr="00FB0005">
        <w:rPr>
          <w:rFonts w:ascii="Garamond" w:hAnsi="Garamond"/>
        </w:rPr>
        <w:t>Mafhūm</w:t>
      </w:r>
      <w:proofErr w:type="spellEnd"/>
      <w:r w:rsidRPr="00FB0005">
        <w:rPr>
          <w:rFonts w:ascii="Garamond" w:hAnsi="Garamond"/>
        </w:rPr>
        <w:t xml:space="preserve"> Al-</w:t>
      </w:r>
      <w:proofErr w:type="spellStart"/>
      <w:r w:rsidRPr="00FB0005">
        <w:rPr>
          <w:rFonts w:ascii="Times New Roman" w:hAnsi="Times New Roman" w:cs="Times New Roman"/>
        </w:rPr>
        <w:t>Ṣ</w:t>
      </w:r>
      <w:r w:rsidRPr="00FB0005">
        <w:rPr>
          <w:rFonts w:ascii="Garamond" w:hAnsi="Garamond"/>
        </w:rPr>
        <w:t>alawāt</w:t>
      </w:r>
      <w:proofErr w:type="spellEnd"/>
      <w:r w:rsidRPr="00FB0005">
        <w:rPr>
          <w:rFonts w:ascii="Garamond" w:hAnsi="Garamond"/>
        </w:rPr>
        <w:t xml:space="preserve"> ‘</w:t>
      </w:r>
      <w:proofErr w:type="spellStart"/>
      <w:r w:rsidRPr="00FB0005">
        <w:rPr>
          <w:rFonts w:ascii="Garamond" w:hAnsi="Garamond"/>
        </w:rPr>
        <w:t>inda</w:t>
      </w:r>
      <w:proofErr w:type="spellEnd"/>
      <w:r w:rsidRPr="00FB0005">
        <w:rPr>
          <w:rFonts w:ascii="Garamond" w:hAnsi="Garamond"/>
        </w:rPr>
        <w:t xml:space="preserve"> </w:t>
      </w:r>
      <w:proofErr w:type="spellStart"/>
      <w:r w:rsidRPr="00FB0005">
        <w:rPr>
          <w:rFonts w:ascii="Garamond" w:hAnsi="Garamond"/>
        </w:rPr>
        <w:t>Majmū‘at</w:t>
      </w:r>
      <w:proofErr w:type="spellEnd"/>
      <w:r w:rsidRPr="00FB0005">
        <w:rPr>
          <w:rFonts w:ascii="Garamond" w:hAnsi="Garamond"/>
        </w:rPr>
        <w:t xml:space="preserve"> </w:t>
      </w:r>
      <w:proofErr w:type="spellStart"/>
      <w:r w:rsidRPr="00FB0005">
        <w:rPr>
          <w:rFonts w:ascii="Garamond" w:hAnsi="Garamond"/>
        </w:rPr>
        <w:t>Joged</w:t>
      </w:r>
      <w:proofErr w:type="spellEnd"/>
      <w:r w:rsidRPr="00FB0005">
        <w:rPr>
          <w:rFonts w:ascii="Garamond" w:hAnsi="Garamond"/>
        </w:rPr>
        <w:t xml:space="preserve"> </w:t>
      </w:r>
      <w:proofErr w:type="spellStart"/>
      <w:r w:rsidRPr="00FB0005">
        <w:rPr>
          <w:rFonts w:ascii="Garamond" w:hAnsi="Garamond"/>
        </w:rPr>
        <w:t>Shalawat</w:t>
      </w:r>
      <w:proofErr w:type="spellEnd"/>
      <w:r w:rsidRPr="00FB0005">
        <w:rPr>
          <w:rFonts w:ascii="Garamond" w:hAnsi="Garamond"/>
        </w:rPr>
        <w:t xml:space="preserve"> </w:t>
      </w:r>
      <w:proofErr w:type="spellStart"/>
      <w:r w:rsidRPr="00FB0005">
        <w:rPr>
          <w:rFonts w:ascii="Garamond" w:hAnsi="Garamond"/>
        </w:rPr>
        <w:t>Mataram</w:t>
      </w:r>
      <w:proofErr w:type="spellEnd"/>
      <w:r w:rsidRPr="00FB0005">
        <w:rPr>
          <w:rFonts w:ascii="Garamond" w:hAnsi="Garamond"/>
        </w:rPr>
        <w:t xml:space="preserve">: </w:t>
      </w:r>
      <w:proofErr w:type="spellStart"/>
      <w:r w:rsidRPr="00FB0005">
        <w:rPr>
          <w:rFonts w:ascii="Garamond" w:hAnsi="Garamond"/>
        </w:rPr>
        <w:t>Dirāsah</w:t>
      </w:r>
      <w:proofErr w:type="spellEnd"/>
      <w:r w:rsidRPr="00FB0005">
        <w:rPr>
          <w:rFonts w:ascii="Garamond" w:hAnsi="Garamond"/>
        </w:rPr>
        <w:t xml:space="preserve"> </w:t>
      </w:r>
      <w:proofErr w:type="spellStart"/>
      <w:r w:rsidRPr="00FB0005">
        <w:rPr>
          <w:rFonts w:ascii="Garamond" w:hAnsi="Garamond"/>
        </w:rPr>
        <w:t>Fī</w:t>
      </w:r>
      <w:proofErr w:type="spellEnd"/>
      <w:r w:rsidRPr="00FB0005">
        <w:rPr>
          <w:rFonts w:ascii="Garamond" w:hAnsi="Garamond"/>
        </w:rPr>
        <w:t xml:space="preserve"> al-</w:t>
      </w:r>
      <w:proofErr w:type="spellStart"/>
      <w:r w:rsidRPr="00FB0005">
        <w:rPr>
          <w:rFonts w:ascii="Times New Roman" w:hAnsi="Times New Roman" w:cs="Times New Roman"/>
        </w:rPr>
        <w:t>Ḥ</w:t>
      </w:r>
      <w:r w:rsidRPr="00FB0005">
        <w:rPr>
          <w:rFonts w:ascii="Garamond" w:hAnsi="Garamond"/>
        </w:rPr>
        <w:t>adīth</w:t>
      </w:r>
      <w:proofErr w:type="spellEnd"/>
      <w:r w:rsidRPr="00FB0005">
        <w:rPr>
          <w:rFonts w:ascii="Garamond" w:hAnsi="Garamond"/>
        </w:rPr>
        <w:t xml:space="preserve"> al-</w:t>
      </w:r>
      <w:proofErr w:type="spellStart"/>
      <w:r w:rsidRPr="00FB0005">
        <w:rPr>
          <w:rFonts w:ascii="Times New Roman" w:hAnsi="Times New Roman" w:cs="Times New Roman"/>
        </w:rPr>
        <w:t>Ḥ</w:t>
      </w:r>
      <w:r w:rsidRPr="00FB0005">
        <w:rPr>
          <w:rFonts w:ascii="Garamond" w:hAnsi="Garamond"/>
        </w:rPr>
        <w:t>ayy</w:t>
      </w:r>
      <w:proofErr w:type="spellEnd"/>
      <w:r w:rsidRPr="00FB0005">
        <w:rPr>
          <w:rFonts w:ascii="Garamond" w:hAnsi="Garamond"/>
        </w:rPr>
        <w:t xml:space="preserve">,” </w:t>
      </w:r>
      <w:proofErr w:type="spellStart"/>
      <w:r w:rsidRPr="00FB0005">
        <w:rPr>
          <w:rFonts w:ascii="Garamond" w:hAnsi="Garamond"/>
        </w:rPr>
        <w:t>Studia</w:t>
      </w:r>
      <w:proofErr w:type="spellEnd"/>
      <w:r w:rsidRPr="00FB0005">
        <w:rPr>
          <w:rFonts w:ascii="Garamond" w:hAnsi="Garamond"/>
        </w:rPr>
        <w:t xml:space="preserve"> </w:t>
      </w:r>
      <w:proofErr w:type="spellStart"/>
      <w:r w:rsidRPr="00FB0005">
        <w:rPr>
          <w:rFonts w:ascii="Garamond" w:hAnsi="Garamond"/>
        </w:rPr>
        <w:t>Islamika</w:t>
      </w:r>
      <w:proofErr w:type="spellEnd"/>
      <w:r w:rsidRPr="00FB0005">
        <w:rPr>
          <w:rFonts w:ascii="Garamond" w:hAnsi="Garamond"/>
        </w:rPr>
        <w:t xml:space="preserve"> 21, no. 3 (December 30, 2014): 535–536, https://doi.org/10.15408/sdi.v21i3.1220.</w:t>
      </w:r>
    </w:p>
  </w:footnote>
  <w:footnote w:id="11">
    <w:p w:rsidR="004B0895" w:rsidRPr="004B0895" w:rsidRDefault="004B0895" w:rsidP="004B0895">
      <w:pPr>
        <w:pStyle w:val="FootnoteText"/>
        <w:jc w:val="both"/>
        <w:rPr>
          <w:rFonts w:ascii="Garamond" w:hAnsi="Garamond"/>
        </w:rPr>
      </w:pPr>
      <w:r w:rsidRPr="004B0895">
        <w:rPr>
          <w:rStyle w:val="FootnoteReference"/>
          <w:rFonts w:ascii="Garamond" w:hAnsi="Garamond"/>
        </w:rPr>
        <w:footnoteRef/>
      </w:r>
      <w:r w:rsidRPr="004B0895">
        <w:rPr>
          <w:rFonts w:ascii="Garamond" w:hAnsi="Garamond"/>
        </w:rPr>
        <w:t xml:space="preserve"> </w:t>
      </w:r>
      <w:proofErr w:type="spellStart"/>
      <w:proofErr w:type="gramStart"/>
      <w:r w:rsidRPr="004B0895">
        <w:rPr>
          <w:rFonts w:ascii="Garamond" w:hAnsi="Garamond"/>
        </w:rPr>
        <w:t>Mohd</w:t>
      </w:r>
      <w:proofErr w:type="spellEnd"/>
      <w:r w:rsidRPr="004B0895">
        <w:rPr>
          <w:rFonts w:ascii="Garamond" w:hAnsi="Garamond"/>
        </w:rPr>
        <w:t>.</w:t>
      </w:r>
      <w:proofErr w:type="gramEnd"/>
      <w:r w:rsidRPr="004B0895">
        <w:rPr>
          <w:rFonts w:ascii="Garamond" w:hAnsi="Garamond"/>
        </w:rPr>
        <w:t xml:space="preserve"> </w:t>
      </w:r>
      <w:proofErr w:type="spellStart"/>
      <w:proofErr w:type="gramStart"/>
      <w:r w:rsidRPr="004B0895">
        <w:rPr>
          <w:rFonts w:ascii="Garamond" w:hAnsi="Garamond"/>
        </w:rPr>
        <w:t>Salleh</w:t>
      </w:r>
      <w:proofErr w:type="spellEnd"/>
      <w:r w:rsidRPr="004B0895">
        <w:rPr>
          <w:rFonts w:ascii="Garamond" w:hAnsi="Garamond"/>
        </w:rPr>
        <w:t xml:space="preserve">, N., </w:t>
      </w:r>
      <w:proofErr w:type="spellStart"/>
      <w:r w:rsidRPr="004B0895">
        <w:rPr>
          <w:rFonts w:ascii="Garamond" w:hAnsi="Garamond"/>
        </w:rPr>
        <w:t>Hamdi</w:t>
      </w:r>
      <w:proofErr w:type="spellEnd"/>
      <w:r w:rsidRPr="004B0895">
        <w:rPr>
          <w:rFonts w:ascii="Garamond" w:hAnsi="Garamond"/>
        </w:rPr>
        <w:t xml:space="preserve"> </w:t>
      </w:r>
      <w:proofErr w:type="spellStart"/>
      <w:r w:rsidRPr="004B0895">
        <w:rPr>
          <w:rFonts w:ascii="Garamond" w:hAnsi="Garamond"/>
        </w:rPr>
        <w:t>Usman</w:t>
      </w:r>
      <w:proofErr w:type="spellEnd"/>
      <w:r w:rsidRPr="004B0895">
        <w:rPr>
          <w:rFonts w:ascii="Garamond" w:hAnsi="Garamond"/>
        </w:rPr>
        <w:t xml:space="preserve">, A., </w:t>
      </w:r>
      <w:proofErr w:type="spellStart"/>
      <w:r w:rsidRPr="004B0895">
        <w:rPr>
          <w:rFonts w:ascii="Garamond" w:hAnsi="Garamond"/>
        </w:rPr>
        <w:t>Wazir</w:t>
      </w:r>
      <w:proofErr w:type="spellEnd"/>
      <w:r w:rsidRPr="004B0895">
        <w:rPr>
          <w:rFonts w:ascii="Garamond" w:hAnsi="Garamond"/>
        </w:rPr>
        <w:t xml:space="preserve">, R., Ravi Abdullah, F., &amp; </w:t>
      </w:r>
      <w:proofErr w:type="spellStart"/>
      <w:r w:rsidRPr="004B0895">
        <w:rPr>
          <w:rFonts w:ascii="Garamond" w:hAnsi="Garamond"/>
        </w:rPr>
        <w:t>Zaki</w:t>
      </w:r>
      <w:proofErr w:type="spellEnd"/>
      <w:r w:rsidRPr="004B0895">
        <w:rPr>
          <w:rFonts w:ascii="Garamond" w:hAnsi="Garamond"/>
        </w:rPr>
        <w:t xml:space="preserve"> Ismail, A. (2020).</w:t>
      </w:r>
      <w:proofErr w:type="gramEnd"/>
      <w:r w:rsidRPr="004B0895">
        <w:rPr>
          <w:rFonts w:ascii="Garamond" w:hAnsi="Garamond"/>
        </w:rPr>
        <w:t xml:space="preserve"> Living Hadith </w:t>
      </w:r>
      <w:r>
        <w:rPr>
          <w:rFonts w:ascii="Garamond" w:hAnsi="Garamond"/>
        </w:rPr>
        <w:t>a</w:t>
      </w:r>
      <w:r w:rsidRPr="004B0895">
        <w:rPr>
          <w:rFonts w:ascii="Garamond" w:hAnsi="Garamond"/>
        </w:rPr>
        <w:t xml:space="preserve">s </w:t>
      </w:r>
      <w:r>
        <w:rPr>
          <w:rFonts w:ascii="Garamond" w:hAnsi="Garamond"/>
        </w:rPr>
        <w:t>a</w:t>
      </w:r>
      <w:r w:rsidRPr="004B0895">
        <w:rPr>
          <w:rFonts w:ascii="Garamond" w:hAnsi="Garamond"/>
        </w:rPr>
        <w:t xml:space="preserve"> Social Cultural Phenomenon </w:t>
      </w:r>
      <w:r>
        <w:rPr>
          <w:rFonts w:ascii="Garamond" w:hAnsi="Garamond"/>
        </w:rPr>
        <w:t>o</w:t>
      </w:r>
      <w:r w:rsidRPr="004B0895">
        <w:rPr>
          <w:rFonts w:ascii="Garamond" w:hAnsi="Garamond"/>
        </w:rPr>
        <w:t xml:space="preserve">f Indonesia: A Systematic Review </w:t>
      </w:r>
      <w:r>
        <w:rPr>
          <w:rFonts w:ascii="Garamond" w:hAnsi="Garamond"/>
        </w:rPr>
        <w:t>o</w:t>
      </w:r>
      <w:r w:rsidRPr="004B0895">
        <w:rPr>
          <w:rFonts w:ascii="Garamond" w:hAnsi="Garamond"/>
        </w:rPr>
        <w:t xml:space="preserve">f </w:t>
      </w:r>
      <w:proofErr w:type="gramStart"/>
      <w:r w:rsidRPr="004B0895">
        <w:rPr>
          <w:rFonts w:ascii="Garamond" w:hAnsi="Garamond"/>
        </w:rPr>
        <w:t>The</w:t>
      </w:r>
      <w:proofErr w:type="gramEnd"/>
      <w:r w:rsidRPr="004B0895">
        <w:rPr>
          <w:rFonts w:ascii="Garamond" w:hAnsi="Garamond"/>
        </w:rPr>
        <w:t xml:space="preserve"> Literature. Humanities &amp; Social Sciences Reviews, 7(6), 1125–1133. https://doi.org/10.18510/hssr.2019.76161.</w:t>
      </w:r>
    </w:p>
  </w:footnote>
  <w:footnote w:id="12">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{"citationID":"r0dJSkkL","properties":{"formattedCitation":"Saifuddin Zuhri Qudsy and Subkhani Sukuma Dewi, {\\i{}Living Hadis: Praktik, Resepsi, Teks, Dan Transmisi} (Jogjakarta: Q-Media, 2018), 4.","plainCitation":"Saifuddin Zuhri Qudsy and Subkhani Sukuma Dewi, Living Hadis: Praktik, Resepsi, Teks, Dan Transmisi (Jogjakarta: Q-Media, 2018), 4.","noteIndex":1},"citationItems":[{"id":1845,"uris":["http://zotero.org/users/local/n49v5LOV/items/LLC44JLF"],"itemData":{"id":1845,"type":"book","event-place":"Jogjakarta","publisher":"Q-Media","publisher-place":"Jogjakarta","title":"Living Hadis: Praktik, Resepsi, Teks, dan Transmisi","author":[{"family":"Zuhri Qudsy","given":"Saifuddin"},{"family":"Sukuma Dewi","given":"Subkhani"}],"issued":{"date-parts":[["2018"]]}},"locator":"4"}],"schema":"https://github.com/citation-style-language/schema/raw/master/csl-citation.json"}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Saifuddin Zuhri Qudsy and Subkhani Sukuma Dewi, </w:t>
      </w:r>
      <w:r w:rsidRPr="00FB0005">
        <w:rPr>
          <w:rFonts w:ascii="Garamond" w:hAnsi="Garamond" w:cstheme="majorBidi"/>
          <w:i/>
          <w:iCs/>
          <w:szCs w:val="24"/>
        </w:rPr>
        <w:t>Living Hadis: Praktik, Resepsi, Teks, Dan Transmisi</w:t>
      </w:r>
      <w:r w:rsidRPr="00FB0005">
        <w:rPr>
          <w:rFonts w:ascii="Garamond" w:hAnsi="Garamond" w:cstheme="majorBidi"/>
          <w:szCs w:val="24"/>
        </w:rPr>
        <w:t xml:space="preserve"> (Jogjakarta: Q-Media, 2018), 4.</w:t>
      </w:r>
      <w:r w:rsidRPr="00FB0005">
        <w:rPr>
          <w:rFonts w:ascii="Garamond" w:hAnsi="Garamond" w:cstheme="majorBidi"/>
        </w:rPr>
        <w:fldChar w:fldCharType="end"/>
      </w:r>
    </w:p>
  </w:footnote>
  <w:footnote w:id="13">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{"citationID":"s1nX4GlM","properties":{"formattedCitation":"Barbara D. Metcalf, \\uc0\\u8220{}Living Had\\uc0\\u299{}th in the Tabl\\uc0\\u299{}gh\\uc0\\u299{} Jama`\\uc0\\u257{}t,\\uc0\\u8221{} {\\i{}The Journal of Asian Studies} 52, no. 3 (1993): 184, https://doi.org/10.2307/2058855.","plainCitation":"Barbara D. Metcalf, “Living Hadīth in the Tablīghī Jama`āt,” The Journal of Asian Studies 52, no. 3 (1993): 184, https://doi.org/10.2307/2058855.","noteIndex":2},"citationItems":[{"id":1747,"uris":["http://zotero.org/users/local/n49v5LOV/items/XDD6J88L"],"itemData":{"id":1747,"type":"article-journal","abstract":"The symposium is impressive, not only for its findings but also for the variety of interpretative perspectives employed by the authors. With surprising ease the contributors have broken the often artificial boundaries of Asia's regions to provide meaningful comparisons from both South and Southeast Asia. Three of the articles refer to the work of BENEDICT ANDERSON, who has stressed the role of mass-produced vernacular literature in creating the political and social identities on which the postcolonial world is organized. The contributors generally stress that religion-often interpreted as a private matter in the postcolonial world-can increase its influence in the public sphere. In addition, the authors address the question of the differing ways a text can be composed and read, an issue that is arguably central to most current literary criticism and as well the major concern of some social scientists. BARBARA D. METCALF, in particular, stresses that the social uses of these vernacular Islamic texts reveal there is no wholly autonomous subaltern tradition, but rather that alternatives are always shaped by the particular dominant order in which they occur. Finally, the authors all address the gap that lies between universal principles and their particular expressions. The symposium organizer, JOHN BOWEN, suggests that studies of other universal traditions, such as Buddhism and Confucianism, will reveal new understanding of the alternative projects being proposed in their names for the postcolonial world.","container-title":"The Journal of Asian Studies","DOI":"10.2307/2058855","ISSN":"0021-9118","issue":"3","note":"publisher: Duke University Press","page":"584-608","source":"JSTOR","title":"Living Hadīth in the Tablīghī Jama`āt","volume":"52","author":[{"family":"Metcalf","given":"Barbara D."}],"issued":{"date-parts":[["1993"]]}},"locator":"184"}],"schema":"https://github.com/citation-style-language/schema/raw/master/csl-citation.json"}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Barbara D. Metcalf, “Living Hadīth in the Tablīghī Jama`āt,” </w:t>
      </w:r>
      <w:r w:rsidRPr="00FB0005">
        <w:rPr>
          <w:rFonts w:ascii="Garamond" w:hAnsi="Garamond" w:cstheme="majorBidi"/>
          <w:i/>
          <w:iCs/>
          <w:szCs w:val="24"/>
        </w:rPr>
        <w:t>The Journal of Asian Studies</w:t>
      </w:r>
      <w:r w:rsidRPr="00FB0005">
        <w:rPr>
          <w:rFonts w:ascii="Garamond" w:hAnsi="Garamond" w:cstheme="majorBidi"/>
          <w:szCs w:val="24"/>
        </w:rPr>
        <w:t xml:space="preserve"> 52, no. 3 (1993): 184, https://doi.org/10.2307/2058855.</w:t>
      </w:r>
      <w:r w:rsidRPr="00FB0005">
        <w:rPr>
          <w:rFonts w:ascii="Garamond" w:hAnsi="Garamond" w:cstheme="majorBidi"/>
        </w:rPr>
        <w:fldChar w:fldCharType="end"/>
      </w:r>
    </w:p>
  </w:footnote>
  <w:footnote w:id="14">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{"citationID":"XYmhL9gU","properties":{"formattedCitation":"Fazlur Rahman, \\uc0\\u8220{}Sunnah and \\uc0\\u7716{}ad\\uc0\\u299{}\\uc0\\u7791{}\\uc0\\u7830{},\\uc0\\u8221{} {\\i{}Islamic Studies} 1, no. 2 (1962): 3.","plainCitation":"Fazlur Rahman, “Sunnah and </w:instrText>
      </w:r>
      <w:r w:rsidRPr="00FB0005">
        <w:rPr>
          <w:rFonts w:ascii="Times New Roman" w:hAnsi="Times New Roman" w:cs="Times New Roman"/>
        </w:rPr>
        <w:instrText>Ḥ</w:instrText>
      </w:r>
      <w:r w:rsidRPr="00FB0005">
        <w:rPr>
          <w:rFonts w:ascii="Garamond" w:hAnsi="Garamond" w:cstheme="majorBidi"/>
        </w:rPr>
        <w:instrText>adī</w:instrText>
      </w:r>
      <w:r w:rsidRPr="00FB0005">
        <w:rPr>
          <w:rFonts w:ascii="Times New Roman" w:hAnsi="Times New Roman" w:cs="Times New Roman"/>
        </w:rPr>
        <w:instrText>ṯẖ</w:instrText>
      </w:r>
      <w:r w:rsidRPr="00FB0005">
        <w:rPr>
          <w:rFonts w:ascii="Garamond" w:hAnsi="Garamond" w:cstheme="majorBidi"/>
        </w:rPr>
        <w:instrText xml:space="preserve">,” Islamic Studies 1, no. 2 (1962): 3.","noteIndex":3},"citationItems":[{"id":1069,"uris":["http://zotero.org/users/local/n49v5LOV/items/AZ29GVH4"],"itemData":{"id":1069,"type":"article-journal","container-title":"Islamic Studies","ISSN":"0578-8072","issue":"2","note":"publisher: Islamic Research Institute, International Islamic University, Islamabad","page":"1-36","source":"JSTOR","title":"Sunnah and </w:instrText>
      </w:r>
      <w:r w:rsidRPr="00FB0005">
        <w:rPr>
          <w:rFonts w:ascii="Times New Roman" w:hAnsi="Times New Roman" w:cs="Times New Roman"/>
        </w:rPr>
        <w:instrText>Ḥ</w:instrText>
      </w:r>
      <w:r w:rsidRPr="00FB0005">
        <w:rPr>
          <w:rFonts w:ascii="Garamond" w:hAnsi="Garamond" w:cstheme="majorBidi"/>
        </w:rPr>
        <w:instrText>adī</w:instrText>
      </w:r>
      <w:r w:rsidRPr="00FB0005">
        <w:rPr>
          <w:rFonts w:ascii="Times New Roman" w:hAnsi="Times New Roman" w:cs="Times New Roman"/>
        </w:rPr>
        <w:instrText>ṯẖ</w:instrText>
      </w:r>
      <w:r w:rsidRPr="00FB0005">
        <w:rPr>
          <w:rFonts w:ascii="Garamond" w:hAnsi="Garamond" w:cstheme="majorBidi"/>
        </w:rPr>
        <w:instrText xml:space="preserve">","volume":"1","author":[{"family":"Rahman","given":"Fazlur"}],"issued":{"date-parts":[["1962"]]}},"locator":"3"}],"schema":"https://github.com/citation-style-language/schema/raw/master/csl-citation.json"}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Fazlur Rahman, “Sunnah and </w:t>
      </w:r>
      <w:r w:rsidRPr="00FB0005">
        <w:rPr>
          <w:rFonts w:ascii="Times New Roman" w:hAnsi="Times New Roman" w:cs="Times New Roman"/>
          <w:szCs w:val="24"/>
        </w:rPr>
        <w:t>Ḥ</w:t>
      </w:r>
      <w:r w:rsidRPr="00FB0005">
        <w:rPr>
          <w:rFonts w:ascii="Garamond" w:hAnsi="Garamond" w:cs="Times New Roman"/>
          <w:szCs w:val="24"/>
        </w:rPr>
        <w:t>adī</w:t>
      </w:r>
      <w:r w:rsidRPr="00FB0005">
        <w:rPr>
          <w:rFonts w:ascii="Times New Roman" w:hAnsi="Times New Roman" w:cs="Times New Roman"/>
          <w:szCs w:val="24"/>
        </w:rPr>
        <w:t>ṯẖ</w:t>
      </w:r>
      <w:r w:rsidRPr="00FB0005">
        <w:rPr>
          <w:rFonts w:ascii="Garamond" w:hAnsi="Garamond" w:cs="Times New Roman"/>
          <w:szCs w:val="24"/>
        </w:rPr>
        <w:t xml:space="preserve">,” </w:t>
      </w:r>
      <w:r w:rsidRPr="00FB0005">
        <w:rPr>
          <w:rFonts w:ascii="Garamond" w:hAnsi="Garamond" w:cs="Times New Roman"/>
          <w:i/>
          <w:iCs/>
          <w:szCs w:val="24"/>
        </w:rPr>
        <w:t>Islamic Studies</w:t>
      </w:r>
      <w:r w:rsidRPr="00FB0005">
        <w:rPr>
          <w:rFonts w:ascii="Garamond" w:hAnsi="Garamond" w:cs="Times New Roman"/>
          <w:szCs w:val="24"/>
        </w:rPr>
        <w:t xml:space="preserve"> 1, no. 2 (1962): 3.</w:t>
      </w:r>
      <w:r w:rsidRPr="00FB0005">
        <w:rPr>
          <w:rFonts w:ascii="Garamond" w:hAnsi="Garamond" w:cstheme="majorBidi"/>
        </w:rPr>
        <w:fldChar w:fldCharType="end"/>
      </w:r>
    </w:p>
  </w:footnote>
  <w:footnote w:id="15">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proofErr w:type="gramStart"/>
      <w:r w:rsidRPr="00FB0005">
        <w:rPr>
          <w:rFonts w:ascii="Garamond" w:hAnsi="Garamond" w:cstheme="majorBidi"/>
        </w:rPr>
        <w:t xml:space="preserve">“The old idea of </w:t>
      </w:r>
      <w:proofErr w:type="spellStart"/>
      <w:r w:rsidRPr="00FB0005">
        <w:rPr>
          <w:rFonts w:ascii="Garamond" w:hAnsi="Garamond" w:cstheme="majorBidi"/>
        </w:rPr>
        <w:t>Sunna</w:t>
      </w:r>
      <w:proofErr w:type="spellEnd"/>
      <w:r w:rsidRPr="00FB0005">
        <w:rPr>
          <w:rFonts w:ascii="Garamond" w:hAnsi="Garamond" w:cstheme="majorBidi"/>
        </w:rPr>
        <w:t>, “practice”, and the common opinion of the recognized scholars, which together constitute the “living tradition” of the school”.</w:t>
      </w:r>
      <w:proofErr w:type="gramEnd"/>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{"citationID":"u8XVtVuy","properties":{"formattedCitation":"Joseph Schacht, {\\i{}The Origins of Muhammadan Jurisprudence} (Oxford: The Clarendon, 1967), 69, http://archive.org/details/schacht-joseph-the-origins-of-muhamaddan-jurisprudence.","plainCitation":"Joseph Schacht, The Origins of Muhammadan Jurisprudence (Oxford: The Clarendon, 1967), 69, http://archive.org/details/schacht-joseph-the-origins-of-muhamaddan-jurisprudence.","noteIndex":4},"citationItems":[{"id":843,"uris":["http://zotero.org/users/local/n49v5LOV/items/X7DXTVQI"],"itemData":{"id":843,"type":"book","abstract":"Schacht, Joseph - The Origins of Muhammadan Jurisprudence\nSchacht's book on the origins of Islamic law - sharia.","event-place":"Oxford","language":"eng","publisher":"The Clarendon","publisher-place":"Oxford","source":"Internet Archive","title":"The Origins of Muhammadan Jurisprudence","URL":"http://archive.org/details/schacht-joseph-the-origins-of-muhamaddan-jurisprudence","author":[{"literal":"Joseph Schacht"}],"accessed":{"date-parts":[["2024",12,5]]},"issued":{"date-parts":[["1967",1,1]]}},"locator":"69"}],"schema":"https://github.com/citation-style-language/schema/raw/master/csl-citation.json"}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Joseph Schacht, </w:t>
      </w:r>
      <w:r w:rsidRPr="00FB0005">
        <w:rPr>
          <w:rFonts w:ascii="Garamond" w:hAnsi="Garamond" w:cs="Times New Roman"/>
          <w:i/>
          <w:iCs/>
          <w:szCs w:val="24"/>
        </w:rPr>
        <w:t>The Origins of Muhammadan Jurisprudence</w:t>
      </w:r>
      <w:r w:rsidRPr="00FB0005">
        <w:rPr>
          <w:rFonts w:ascii="Garamond" w:hAnsi="Garamond" w:cs="Times New Roman"/>
          <w:szCs w:val="24"/>
        </w:rPr>
        <w:t xml:space="preserve"> (Oxford: The Clarendon, 1967), 69, http://archive.org/details/schacht-joseph-the-origins-of-muhamaddan-jurisprudence.</w:t>
      </w:r>
      <w:r w:rsidRPr="00FB0005">
        <w:rPr>
          <w:rFonts w:ascii="Garamond" w:hAnsi="Garamond" w:cstheme="majorBidi"/>
        </w:rPr>
        <w:fldChar w:fldCharType="end"/>
      </w:r>
    </w:p>
  </w:footnote>
  <w:footnote w:id="16">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{"citationID":"MeKaALGw","properties":{"formattedCitation":"Saifuddin Zuhri Qudsy, \\uc0\\u8220{}Living Hadis: Genealogi, Teori, Dan Aplikasi,\\uc0\\u8221{} {\\i{}Jurnal Living Hadis} 1, no. 1 (May 6, 2016): 179, https://doi.org/10.14421/livinghadis.2016.1073.","plainCitation":"Saifuddin Zuhri Qudsy, “Living Hadis: Genealogi, Teori, Dan Aplikasi,” Jurnal Living Hadis 1, no. 1 (May 6, 2016): 179, https://doi.org/10.14421/livinghadis.2016.1073.","noteIndex":5},"citationItems":[{"id":1811,"uris":["http://zotero.org/users/local/n49v5LOV/items/9XIXSU5P"],"itemData":{"id":1811,"type":"article-journal","abstract":"Within a decade, the study of Living Qur’an and Living Hadithand has flourished in Indonesia. Number of research about phenomena of either practices of rituals has been done. This article, departs from that fact, endeavors to explore model of living hadith, from its genealogical presence, theories that have been applied, up to technic which used into various kinds of research.","container-title":"Jurnal Living Hadis","DOI":"10.14421/livinghadis.2016.1073","ISSN":"2548-4761","issue":"1","language":"en","license":"Copyright (c) 2016 Living Hadis","note":"number: 1","page":"177-196","source":"ejournal.uin-suka.ac.id","title":"Living Hadis: Genealogi, Teori, Dan Aplikasi","title-short":"LIVING HADIS","volume":"1","author":[{"family":"Qudsy","given":"Saifuddin Zuhri"}],"issued":{"date-parts":[["2016",5,6]]}},"locator":"179"}],"schema":"https://github.com/citation-style-language/schema/raw/master/csl-citation.json"}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Saifuddin Zuhri Qudsy, “Living Hadis: Genealogi, Teori, Dan Aplikasi,” </w:t>
      </w:r>
      <w:r w:rsidRPr="00FB0005">
        <w:rPr>
          <w:rFonts w:ascii="Garamond" w:hAnsi="Garamond" w:cstheme="majorBidi"/>
          <w:i/>
          <w:iCs/>
          <w:szCs w:val="24"/>
        </w:rPr>
        <w:t>Jurnal Living Hadis</w:t>
      </w:r>
      <w:r w:rsidRPr="00FB0005">
        <w:rPr>
          <w:rFonts w:ascii="Garamond" w:hAnsi="Garamond" w:cstheme="majorBidi"/>
          <w:szCs w:val="24"/>
        </w:rPr>
        <w:t xml:space="preserve"> 1, no. 1 (May 6, 2016): 179, https://doi.org/10.14421/livinghadis.2016.1073.</w:t>
      </w:r>
      <w:r w:rsidRPr="00FB0005">
        <w:rPr>
          <w:rFonts w:ascii="Garamond" w:hAnsi="Garamond" w:cstheme="majorBidi"/>
        </w:rPr>
        <w:fldChar w:fldCharType="end"/>
      </w:r>
      <w:r w:rsidRPr="00FB0005">
        <w:rPr>
          <w:rFonts w:ascii="Garamond" w:hAnsi="Garamond" w:cstheme="majorBidi"/>
        </w:rPr>
        <w:t>s</w:t>
      </w:r>
    </w:p>
  </w:footnote>
  <w:footnote w:id="17">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{"citationID":"EMGQCIZf","properties":{"formattedCitation":"Fitrah Sugiarto, Ahlan, and Nurwathani Janhari, {\\i{}Metodelogi Penelitian Living Qur\\uc0\\u8217{}an Dan Hadis} (Mataram: UIN Mataram Press, 2023), 77.","plainCitation":"Fitrah Sugiarto, Ahlan, and Nurwathani Janhari, Metodelogi Penelitian Living Qur’an Dan Hadis (Mataram: UIN Mataram Press, 2023), 77.","noteIndex":6},"citationItems":[{"id":1846,"uris":["http://zotero.org/users/local/n49v5LOV/items/IPWTHKHR"],"itemData":{"id":1846,"type":"book","event-place":"Mataram","publisher":"UIN Mataram Press","publisher-place":"Mataram","title":"Metodelogi Penelitian Living Qur'an dan Hadis","author":[{"family":"Sugiarto","given":"Fitrah"},{"family":"","given":"Ahlan"},{"family":"Janhari","given":"Nurwathani"}],"issued":{"date-parts":[["2023"]]}},"locator":"77"}],"schema":"https://github.com/citation-style-language/schema/raw/master/csl-citation.json"}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Fitrah Sugiarto, Ahlan, and Nurwathani Janhari, </w:t>
      </w:r>
      <w:r w:rsidRPr="00FB0005">
        <w:rPr>
          <w:rFonts w:ascii="Garamond" w:hAnsi="Garamond" w:cstheme="majorBidi"/>
          <w:i/>
          <w:iCs/>
          <w:szCs w:val="24"/>
        </w:rPr>
        <w:t>Metodelogi Penelitian Living Qur’an Dan Hadis</w:t>
      </w:r>
      <w:r w:rsidRPr="00FB0005">
        <w:rPr>
          <w:rFonts w:ascii="Garamond" w:hAnsi="Garamond" w:cstheme="majorBidi"/>
          <w:szCs w:val="24"/>
        </w:rPr>
        <w:t xml:space="preserve"> (Mataram: UIN Mataram Press, 2023), 77.</w:t>
      </w:r>
      <w:r w:rsidRPr="00FB0005">
        <w:rPr>
          <w:rFonts w:ascii="Garamond" w:hAnsi="Garamond" w:cstheme="majorBidi"/>
        </w:rPr>
        <w:fldChar w:fldCharType="end"/>
      </w:r>
    </w:p>
  </w:footnote>
  <w:footnote w:id="18">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{"citationID":"riyXZlLs","properties":{"formattedCitation":"Qudsy, \\uc0\\u8220{}LIVING HADIS,\\uc0\\u8221{} 179.","plainCitation":"Qudsy, “LIVING HADIS,” 179.","dontUpdate":true,"noteIndex":7},"citationItems":[{"id":1811,"uris":["http://zotero.org/users/local/n49v5LOV/items/9XIXSU5P"],"itemData":{"id":1811,"type":"article-journal","abstract":"Within a decade, the study of Living Qur’an and Living Hadithand has flourished in Indonesia. Number of research about phenomena of either practices of rituals has been done. This article, departs from that fact, endeavors to explore model of living hadith, from its genealogical presence, theories that have been applied, up to technic which used into various kinds of research.","container-title":"Jurnal Living Hadis","DOI":"10.14421/livinghadis.2016.1073","ISSN":"2548-4761","issue":"1","language":"en","license":"Copyright (c) 2016 Living Hadis","note":"number: 1","page":"177-196","source":"ejournal.uin-suka.ac.id","title":"Living Hadis: Genealogi, Teori, Dan Aplikasi","title-short":"LIVING HADIS","volume":"1","author":[{"family":"Qudsy","given":"Saifuddin Zuhri"}],"issued":{"date-parts":[["2016",5,6]]}},"locator":"179"}],"schema":"https://github.com/citation-style-language/schema/raw/master/csl-citation.json"}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Qudsy, “Living Hadis,” 179.</w:t>
      </w:r>
      <w:r w:rsidRPr="00FB0005">
        <w:rPr>
          <w:rFonts w:ascii="Garamond" w:hAnsi="Garamond" w:cstheme="majorBidi"/>
        </w:rPr>
        <w:fldChar w:fldCharType="end"/>
      </w:r>
    </w:p>
  </w:footnote>
  <w:footnote w:id="19">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{"citationID":"l9O1VZtI","properties":{"formattedCitation":"Saifuddin Zuhri Qudsy et al., \\uc0\\u8220{}The Making of Living \\uc0\\u7716{}ad\\uc0\\u299{}th: A New Direction of \\uc0\\u7716{}ad\\uc0\\u299{}th Studies in Indonesia,\\uc0\\u8221{} {\\i{}Culture and Religion} 23, no. 4 (October 2, 2023): 6, https://doi.org/10.1080/14755610.2024.2336461.","plainCitation":"Saifuddin Zuhri Qudsy et al., “The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 A New Direction of </w:instrText>
      </w:r>
      <w:r w:rsidRPr="00FB0005">
        <w:rPr>
          <w:rFonts w:ascii="Times New Roman" w:hAnsi="Times New Roman" w:cs="Times New Roman"/>
        </w:rPr>
        <w:instrText>Ḥ</w:instrText>
      </w:r>
      <w:r w:rsidRPr="00FB0005">
        <w:rPr>
          <w:rFonts w:ascii="Garamond" w:hAnsi="Garamond" w:cstheme="majorBidi"/>
        </w:rPr>
        <w:instrText>adīth Studies in Indonesia,” Culture and Religion 23, no. 4 (October 2, 2023): 6, https://doi.org/10.1080/14755610.2024.2336461.","noteIndex":8},"citationItems":[{"id":1043,"uris":["http://zotero.org/users/local/n49v5LOV/items/RWQNKCGF"],"itemData":{"id":1043,"type":"article-journal","abstract":"</w:instrText>
      </w:r>
      <w:r w:rsidRPr="00FB0005">
        <w:rPr>
          <w:rFonts w:ascii="Times New Roman" w:hAnsi="Times New Roman" w:cs="Times New Roman"/>
        </w:rPr>
        <w:instrText>Ḥ</w:instrText>
      </w:r>
      <w:r w:rsidRPr="00FB0005">
        <w:rPr>
          <w:rFonts w:ascii="Garamond" w:hAnsi="Garamond" w:cstheme="majorBidi"/>
        </w:rPr>
        <w:instrText xml:space="preserve">adīth studies identifies Islamic practices that originate from the text of the </w:instrText>
      </w:r>
      <w:r w:rsidRPr="00FB0005">
        <w:rPr>
          <w:rFonts w:ascii="Times New Roman" w:hAnsi="Times New Roman" w:cs="Times New Roman"/>
        </w:rPr>
        <w:instrText>ḥ</w:instrText>
      </w:r>
      <w:r w:rsidRPr="00FB0005">
        <w:rPr>
          <w:rFonts w:ascii="Garamond" w:hAnsi="Garamond" w:cstheme="majorBidi"/>
        </w:rPr>
        <w:instrText xml:space="preserve">adīths or the traditions of the Prophet Muhammad. The term ‘living </w:instrText>
      </w:r>
      <w:r w:rsidRPr="00FB0005">
        <w:rPr>
          <w:rFonts w:ascii="Times New Roman" w:hAnsi="Times New Roman" w:cs="Times New Roman"/>
        </w:rPr>
        <w:instrText>ḥ</w:instrText>
      </w:r>
      <w:r w:rsidRPr="00FB0005">
        <w:rPr>
          <w:rFonts w:ascii="Garamond" w:hAnsi="Garamond" w:cstheme="majorBidi"/>
        </w:rPr>
        <w:instrText xml:space="preserve">adīth’ has emerged as a new direction to </w:instrText>
      </w:r>
      <w:r w:rsidRPr="00FB0005">
        <w:rPr>
          <w:rFonts w:ascii="Times New Roman" w:hAnsi="Times New Roman" w:cs="Times New Roman"/>
        </w:rPr>
        <w:instrText>ḥ</w:instrText>
      </w:r>
      <w:r w:rsidRPr="00FB0005">
        <w:rPr>
          <w:rFonts w:ascii="Garamond" w:hAnsi="Garamond" w:cstheme="majorBidi"/>
        </w:rPr>
        <w:instrText xml:space="preserve">adīth studies. This article seeks to explore the dynamics of living </w:instrText>
      </w:r>
      <w:r w:rsidRPr="00FB0005">
        <w:rPr>
          <w:rFonts w:ascii="Times New Roman" w:hAnsi="Times New Roman" w:cs="Times New Roman"/>
        </w:rPr>
        <w:instrText>ḥ</w:instrText>
      </w:r>
      <w:r w:rsidRPr="00FB0005">
        <w:rPr>
          <w:rFonts w:ascii="Garamond" w:hAnsi="Garamond" w:cstheme="majorBidi"/>
        </w:rPr>
        <w:instrText xml:space="preserve">adīths as they have emerged in and revitalised </w:instrText>
      </w:r>
      <w:r w:rsidRPr="00FB0005">
        <w:rPr>
          <w:rFonts w:ascii="Times New Roman" w:hAnsi="Times New Roman" w:cs="Times New Roman"/>
        </w:rPr>
        <w:instrText>ḥ</w:instrText>
      </w:r>
      <w:r w:rsidRPr="00FB0005">
        <w:rPr>
          <w:rFonts w:ascii="Garamond" w:hAnsi="Garamond" w:cstheme="majorBidi"/>
        </w:rPr>
        <w:instrText xml:space="preserve">adīth studies, especially within academic discourse of Indonesian Islamic universities. Important findings include that the living </w:instrText>
      </w:r>
      <w:r w:rsidRPr="00FB0005">
        <w:rPr>
          <w:rFonts w:ascii="Times New Roman" w:hAnsi="Times New Roman" w:cs="Times New Roman"/>
        </w:rPr>
        <w:instrText>ḥ</w:instrText>
      </w:r>
      <w:r w:rsidRPr="00FB0005">
        <w:rPr>
          <w:rFonts w:ascii="Garamond" w:hAnsi="Garamond" w:cstheme="majorBidi"/>
        </w:rPr>
        <w:instrText xml:space="preserve">adīth has become a subdiscipline of </w:instrText>
      </w:r>
      <w:r w:rsidRPr="00FB0005">
        <w:rPr>
          <w:rFonts w:ascii="Times New Roman" w:hAnsi="Times New Roman" w:cs="Times New Roman"/>
        </w:rPr>
        <w:instrText>ḥ</w:instrText>
      </w:r>
      <w:r w:rsidRPr="00FB0005">
        <w:rPr>
          <w:rFonts w:ascii="Garamond" w:hAnsi="Garamond" w:cstheme="majorBidi"/>
        </w:rPr>
        <w:instrText xml:space="preserve">adīth studies that examines on how Muslims interpret and express the </w:instrText>
      </w:r>
      <w:r w:rsidRPr="00FB0005">
        <w:rPr>
          <w:rFonts w:ascii="Times New Roman" w:hAnsi="Times New Roman" w:cs="Times New Roman"/>
        </w:rPr>
        <w:instrText>ḥ</w:instrText>
      </w:r>
      <w:r w:rsidRPr="00FB0005">
        <w:rPr>
          <w:rFonts w:ascii="Garamond" w:hAnsi="Garamond" w:cstheme="majorBidi"/>
        </w:rPr>
        <w:instrText xml:space="preserve">adīths in their daily lives, as well as how Indonesian Muslims link, communicate, and relate </w:instrText>
      </w:r>
      <w:r w:rsidRPr="00FB0005">
        <w:rPr>
          <w:rFonts w:ascii="Times New Roman" w:hAnsi="Times New Roman" w:cs="Times New Roman"/>
        </w:rPr>
        <w:instrText>ḥ</w:instrText>
      </w:r>
      <w:r w:rsidRPr="00FB0005">
        <w:rPr>
          <w:rFonts w:ascii="Garamond" w:hAnsi="Garamond" w:cstheme="majorBidi"/>
        </w:rPr>
        <w:instrText xml:space="preserve">adīths to local traditions and how local cultures assimilate and interact with the texts. This article also finds that the paradigm of living </w:instrText>
      </w:r>
      <w:r w:rsidRPr="00FB0005">
        <w:rPr>
          <w:rFonts w:ascii="Times New Roman" w:hAnsi="Times New Roman" w:cs="Times New Roman"/>
        </w:rPr>
        <w:instrText>ḥ</w:instrText>
      </w:r>
      <w:r w:rsidRPr="00FB0005">
        <w:rPr>
          <w:rFonts w:ascii="Garamond" w:hAnsi="Garamond" w:cstheme="majorBidi"/>
        </w:rPr>
        <w:instrText xml:space="preserve">adīth differs from the disciplines of sociology and anthropology of religion, presenting its epistemology through five areas of focus: practice, reception, text, transmission, and transformation.","container-title":"Culture and Religion","DOI":"10.1080/14755610.2024.2336461","ISSN":"1475-5610","issue":"4","note":"publisher: Routledge\n_eprint: https://doi.org/10.1080/14755610.2024.2336461","page":"353-372","source":"Taylor and Francis+NEJM","title":"The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 a new direction of </w:instrText>
      </w:r>
      <w:r w:rsidRPr="00FB0005">
        <w:rPr>
          <w:rFonts w:ascii="Times New Roman" w:hAnsi="Times New Roman" w:cs="Times New Roman"/>
        </w:rPr>
        <w:instrText>ḥ</w:instrText>
      </w:r>
      <w:r w:rsidRPr="00FB0005">
        <w:rPr>
          <w:rFonts w:ascii="Garamond" w:hAnsi="Garamond" w:cstheme="majorBidi"/>
        </w:rPr>
        <w:instrText xml:space="preserve">adīth studies in Indonesia","title-short":"The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adīth","volume":"23","author":[{"family":"Qudsy","given":"Saifuddin Zuhri"},{"family":"Abdullah","given":"Irwan"},{"family":"Jubba","given":"Hasse"},{"family":"Prasojo","given":"Zaenuddin Hudi"},{"family":"Tanadi Taufik","given":"Egi"}],"issued":{"date-parts":[["2023",10,2]]}},"locator":"6"}],"schema":"https://github.com/citation-style-language/schema/raw/master/csl-citation.json"}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Saifuddin Zuhri Qudsy et al., “The Making of Living </w:t>
      </w:r>
      <w:r w:rsidRPr="00FB0005">
        <w:rPr>
          <w:rFonts w:ascii="Times New Roman" w:hAnsi="Times New Roman" w:cs="Times New Roman"/>
          <w:szCs w:val="24"/>
        </w:rPr>
        <w:t>Ḥ</w:t>
      </w:r>
      <w:r w:rsidRPr="00FB0005">
        <w:rPr>
          <w:rFonts w:ascii="Garamond" w:hAnsi="Garamond" w:cs="Times New Roman"/>
          <w:szCs w:val="24"/>
        </w:rPr>
        <w:t xml:space="preserve">adīth: A New Direction of </w:t>
      </w:r>
      <w:r w:rsidRPr="00FB0005">
        <w:rPr>
          <w:rFonts w:ascii="Times New Roman" w:hAnsi="Times New Roman" w:cs="Times New Roman"/>
          <w:szCs w:val="24"/>
        </w:rPr>
        <w:t>Ḥ</w:t>
      </w:r>
      <w:r w:rsidRPr="00FB0005">
        <w:rPr>
          <w:rFonts w:ascii="Garamond" w:hAnsi="Garamond" w:cs="Times New Roman"/>
          <w:szCs w:val="24"/>
        </w:rPr>
        <w:t xml:space="preserve">adīth Studies in Indonesia,” </w:t>
      </w:r>
      <w:r w:rsidRPr="00FB0005">
        <w:rPr>
          <w:rFonts w:ascii="Garamond" w:hAnsi="Garamond" w:cs="Times New Roman"/>
          <w:i/>
          <w:iCs/>
          <w:szCs w:val="24"/>
        </w:rPr>
        <w:t>Culture and Religion</w:t>
      </w:r>
      <w:r w:rsidRPr="00FB0005">
        <w:rPr>
          <w:rFonts w:ascii="Garamond" w:hAnsi="Garamond" w:cs="Times New Roman"/>
          <w:szCs w:val="24"/>
        </w:rPr>
        <w:t xml:space="preserve"> 23, no. 4 (October 2, 2023): 6, https://doi.org/10.1080/14755610.2024.2336461.</w:t>
      </w:r>
      <w:r w:rsidRPr="00FB0005">
        <w:rPr>
          <w:rFonts w:ascii="Garamond" w:hAnsi="Garamond" w:cstheme="majorBidi"/>
        </w:rPr>
        <w:fldChar w:fldCharType="end"/>
      </w:r>
    </w:p>
  </w:footnote>
  <w:footnote w:id="20">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{"citationID":"fjPUcaOk","properties":{"formattedCitation":"Qudsy et al., 6.","plainCitation":"Qudsy et al., 6.","noteIndex":9},"citationItems":[{"id":1043,"uris":["http://zotero.org/users/local/n49v5LOV/items/RWQNKCGF"],"itemData":{"id":1043,"type":"article-journal","abstract":"</w:instrText>
      </w:r>
      <w:r w:rsidRPr="00FB0005">
        <w:rPr>
          <w:rFonts w:ascii="Times New Roman" w:hAnsi="Times New Roman" w:cs="Times New Roman"/>
        </w:rPr>
        <w:instrText>Ḥ</w:instrText>
      </w:r>
      <w:r w:rsidRPr="00FB0005">
        <w:rPr>
          <w:rFonts w:ascii="Garamond" w:hAnsi="Garamond" w:cstheme="majorBidi"/>
        </w:rPr>
        <w:instrText xml:space="preserve">adīth studies identifies Islamic practices that originate from the text of the </w:instrText>
      </w:r>
      <w:r w:rsidRPr="00FB0005">
        <w:rPr>
          <w:rFonts w:ascii="Times New Roman" w:hAnsi="Times New Roman" w:cs="Times New Roman"/>
        </w:rPr>
        <w:instrText>ḥ</w:instrText>
      </w:r>
      <w:r w:rsidRPr="00FB0005">
        <w:rPr>
          <w:rFonts w:ascii="Garamond" w:hAnsi="Garamond" w:cstheme="majorBidi"/>
        </w:rPr>
        <w:instrText xml:space="preserve">adīths or the traditions of the Prophet Muhammad. The term ‘living </w:instrText>
      </w:r>
      <w:r w:rsidRPr="00FB0005">
        <w:rPr>
          <w:rFonts w:ascii="Times New Roman" w:hAnsi="Times New Roman" w:cs="Times New Roman"/>
        </w:rPr>
        <w:instrText>ḥ</w:instrText>
      </w:r>
      <w:r w:rsidRPr="00FB0005">
        <w:rPr>
          <w:rFonts w:ascii="Garamond" w:hAnsi="Garamond" w:cstheme="majorBidi"/>
        </w:rPr>
        <w:instrText xml:space="preserve">adīth’ has emerged as a new direction to </w:instrText>
      </w:r>
      <w:r w:rsidRPr="00FB0005">
        <w:rPr>
          <w:rFonts w:ascii="Times New Roman" w:hAnsi="Times New Roman" w:cs="Times New Roman"/>
        </w:rPr>
        <w:instrText>ḥ</w:instrText>
      </w:r>
      <w:r w:rsidRPr="00FB0005">
        <w:rPr>
          <w:rFonts w:ascii="Garamond" w:hAnsi="Garamond" w:cstheme="majorBidi"/>
        </w:rPr>
        <w:instrText xml:space="preserve">adīth studies. This article seeks to explore the dynamics of living </w:instrText>
      </w:r>
      <w:r w:rsidRPr="00FB0005">
        <w:rPr>
          <w:rFonts w:ascii="Times New Roman" w:hAnsi="Times New Roman" w:cs="Times New Roman"/>
        </w:rPr>
        <w:instrText>ḥ</w:instrText>
      </w:r>
      <w:r w:rsidRPr="00FB0005">
        <w:rPr>
          <w:rFonts w:ascii="Garamond" w:hAnsi="Garamond" w:cstheme="majorBidi"/>
        </w:rPr>
        <w:instrText xml:space="preserve">adīths as they have emerged in and revitalised </w:instrText>
      </w:r>
      <w:r w:rsidRPr="00FB0005">
        <w:rPr>
          <w:rFonts w:ascii="Times New Roman" w:hAnsi="Times New Roman" w:cs="Times New Roman"/>
        </w:rPr>
        <w:instrText>ḥ</w:instrText>
      </w:r>
      <w:r w:rsidRPr="00FB0005">
        <w:rPr>
          <w:rFonts w:ascii="Garamond" w:hAnsi="Garamond" w:cstheme="majorBidi"/>
        </w:rPr>
        <w:instrText xml:space="preserve">adīth studies, especially within academic discourse of Indonesian Islamic universities. Important findings include that the living </w:instrText>
      </w:r>
      <w:r w:rsidRPr="00FB0005">
        <w:rPr>
          <w:rFonts w:ascii="Times New Roman" w:hAnsi="Times New Roman" w:cs="Times New Roman"/>
        </w:rPr>
        <w:instrText>ḥ</w:instrText>
      </w:r>
      <w:r w:rsidRPr="00FB0005">
        <w:rPr>
          <w:rFonts w:ascii="Garamond" w:hAnsi="Garamond" w:cstheme="majorBidi"/>
        </w:rPr>
        <w:instrText xml:space="preserve">adīth has become a subdiscipline of </w:instrText>
      </w:r>
      <w:r w:rsidRPr="00FB0005">
        <w:rPr>
          <w:rFonts w:ascii="Times New Roman" w:hAnsi="Times New Roman" w:cs="Times New Roman"/>
        </w:rPr>
        <w:instrText>ḥ</w:instrText>
      </w:r>
      <w:r w:rsidRPr="00FB0005">
        <w:rPr>
          <w:rFonts w:ascii="Garamond" w:hAnsi="Garamond" w:cstheme="majorBidi"/>
        </w:rPr>
        <w:instrText xml:space="preserve">adīth studies that examines on how Muslims interpret and express the </w:instrText>
      </w:r>
      <w:r w:rsidRPr="00FB0005">
        <w:rPr>
          <w:rFonts w:ascii="Times New Roman" w:hAnsi="Times New Roman" w:cs="Times New Roman"/>
        </w:rPr>
        <w:instrText>ḥ</w:instrText>
      </w:r>
      <w:r w:rsidRPr="00FB0005">
        <w:rPr>
          <w:rFonts w:ascii="Garamond" w:hAnsi="Garamond" w:cstheme="majorBidi"/>
        </w:rPr>
        <w:instrText xml:space="preserve">adīths in their daily lives, as well as how Indonesian Muslims link, communicate, and relate </w:instrText>
      </w:r>
      <w:r w:rsidRPr="00FB0005">
        <w:rPr>
          <w:rFonts w:ascii="Times New Roman" w:hAnsi="Times New Roman" w:cs="Times New Roman"/>
        </w:rPr>
        <w:instrText>ḥ</w:instrText>
      </w:r>
      <w:r w:rsidRPr="00FB0005">
        <w:rPr>
          <w:rFonts w:ascii="Garamond" w:hAnsi="Garamond" w:cstheme="majorBidi"/>
        </w:rPr>
        <w:instrText xml:space="preserve">adīths to local traditions and how local cultures assimilate and interact with the texts. This article also finds that the paradigm of living </w:instrText>
      </w:r>
      <w:r w:rsidRPr="00FB0005">
        <w:rPr>
          <w:rFonts w:ascii="Times New Roman" w:hAnsi="Times New Roman" w:cs="Times New Roman"/>
        </w:rPr>
        <w:instrText>ḥ</w:instrText>
      </w:r>
      <w:r w:rsidRPr="00FB0005">
        <w:rPr>
          <w:rFonts w:ascii="Garamond" w:hAnsi="Garamond" w:cstheme="majorBidi"/>
        </w:rPr>
        <w:instrText xml:space="preserve">adīth differs from the disciplines of sociology and anthropology of religion, presenting its epistemology through five areas of focus: practice, reception, text, transmission, and transformation.","container-title":"Culture and Religion","DOI":"10.1080/14755610.2024.2336461","ISSN":"1475-5610","issue":"4","note":"publisher: Routledge\n_eprint: https://doi.org/10.1080/14755610.2024.2336461","page":"353-372","source":"Taylor and Francis+NEJM","title":"The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 a new direction of </w:instrText>
      </w:r>
      <w:r w:rsidRPr="00FB0005">
        <w:rPr>
          <w:rFonts w:ascii="Times New Roman" w:hAnsi="Times New Roman" w:cs="Times New Roman"/>
        </w:rPr>
        <w:instrText>ḥ</w:instrText>
      </w:r>
      <w:r w:rsidRPr="00FB0005">
        <w:rPr>
          <w:rFonts w:ascii="Garamond" w:hAnsi="Garamond" w:cstheme="majorBidi"/>
        </w:rPr>
        <w:instrText xml:space="preserve">adīth studies in Indonesia","title-short":"The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adīth","volume":"23","author":[{"family":"Qudsy","given":"Saifuddin Zuhri"},{"family":"Abdullah","given":"Irwan"},{"family":"Jubba","given":"Hasse"},{"family":"Prasojo","given":"Zaenuddin Hudi"},{"family":"Tanadi Taufik","given":"Egi"}],"issued":{"date-parts":[["2023",10,2]]}},"locator":"6"}],"schema":"https://github.com/citation-style-language/schema/raw/master/csl-citation.json"}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Qudsy et al., 6.</w:t>
      </w:r>
      <w:r w:rsidRPr="00FB0005">
        <w:rPr>
          <w:rFonts w:ascii="Garamond" w:hAnsi="Garamond" w:cstheme="majorBidi"/>
        </w:rPr>
        <w:fldChar w:fldCharType="end"/>
      </w:r>
    </w:p>
  </w:footnote>
  <w:footnote w:id="21">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{"citationID":"jBh0lIjP","properties":{"formattedCitation":"Qudsy et al., 8.","plainCitation":"Qudsy et al., 8.","noteIndex":10},"citationItems":[{"id":1043,"uris":["http://zotero.org/users/local/n49v5LOV/items/RWQNKCGF"],"itemData":{"id":1043,"type":"article-journal","abstract":"</w:instrText>
      </w:r>
      <w:r w:rsidRPr="00FB0005">
        <w:rPr>
          <w:rFonts w:ascii="Times New Roman" w:hAnsi="Times New Roman" w:cs="Times New Roman"/>
        </w:rPr>
        <w:instrText>Ḥ</w:instrText>
      </w:r>
      <w:r w:rsidRPr="00FB0005">
        <w:rPr>
          <w:rFonts w:ascii="Garamond" w:hAnsi="Garamond" w:cstheme="majorBidi"/>
        </w:rPr>
        <w:instrText xml:space="preserve">adīth studies identifies Islamic practices that originate from the text of the </w:instrText>
      </w:r>
      <w:r w:rsidRPr="00FB0005">
        <w:rPr>
          <w:rFonts w:ascii="Times New Roman" w:hAnsi="Times New Roman" w:cs="Times New Roman"/>
        </w:rPr>
        <w:instrText>ḥ</w:instrText>
      </w:r>
      <w:r w:rsidRPr="00FB0005">
        <w:rPr>
          <w:rFonts w:ascii="Garamond" w:hAnsi="Garamond" w:cstheme="majorBidi"/>
        </w:rPr>
        <w:instrText xml:space="preserve">adīths or the traditions of the Prophet Muhammad. The term ‘living </w:instrText>
      </w:r>
      <w:r w:rsidRPr="00FB0005">
        <w:rPr>
          <w:rFonts w:ascii="Times New Roman" w:hAnsi="Times New Roman" w:cs="Times New Roman"/>
        </w:rPr>
        <w:instrText>ḥ</w:instrText>
      </w:r>
      <w:r w:rsidRPr="00FB0005">
        <w:rPr>
          <w:rFonts w:ascii="Garamond" w:hAnsi="Garamond" w:cstheme="majorBidi"/>
        </w:rPr>
        <w:instrText xml:space="preserve">adīth’ has emerged as a new direction to </w:instrText>
      </w:r>
      <w:r w:rsidRPr="00FB0005">
        <w:rPr>
          <w:rFonts w:ascii="Times New Roman" w:hAnsi="Times New Roman" w:cs="Times New Roman"/>
        </w:rPr>
        <w:instrText>ḥ</w:instrText>
      </w:r>
      <w:r w:rsidRPr="00FB0005">
        <w:rPr>
          <w:rFonts w:ascii="Garamond" w:hAnsi="Garamond" w:cstheme="majorBidi"/>
        </w:rPr>
        <w:instrText xml:space="preserve">adīth studies. This article seeks to explore the dynamics of living </w:instrText>
      </w:r>
      <w:r w:rsidRPr="00FB0005">
        <w:rPr>
          <w:rFonts w:ascii="Times New Roman" w:hAnsi="Times New Roman" w:cs="Times New Roman"/>
        </w:rPr>
        <w:instrText>ḥ</w:instrText>
      </w:r>
      <w:r w:rsidRPr="00FB0005">
        <w:rPr>
          <w:rFonts w:ascii="Garamond" w:hAnsi="Garamond" w:cstheme="majorBidi"/>
        </w:rPr>
        <w:instrText xml:space="preserve">adīths as they have emerged in and revitalised </w:instrText>
      </w:r>
      <w:r w:rsidRPr="00FB0005">
        <w:rPr>
          <w:rFonts w:ascii="Times New Roman" w:hAnsi="Times New Roman" w:cs="Times New Roman"/>
        </w:rPr>
        <w:instrText>ḥ</w:instrText>
      </w:r>
      <w:r w:rsidRPr="00FB0005">
        <w:rPr>
          <w:rFonts w:ascii="Garamond" w:hAnsi="Garamond" w:cstheme="majorBidi"/>
        </w:rPr>
        <w:instrText xml:space="preserve">adīth studies, especially within academic discourse of Indonesian Islamic universities. Important findings include that the living </w:instrText>
      </w:r>
      <w:r w:rsidRPr="00FB0005">
        <w:rPr>
          <w:rFonts w:ascii="Times New Roman" w:hAnsi="Times New Roman" w:cs="Times New Roman"/>
        </w:rPr>
        <w:instrText>ḥ</w:instrText>
      </w:r>
      <w:r w:rsidRPr="00FB0005">
        <w:rPr>
          <w:rFonts w:ascii="Garamond" w:hAnsi="Garamond" w:cstheme="majorBidi"/>
        </w:rPr>
        <w:instrText xml:space="preserve">adīth has become a subdiscipline of </w:instrText>
      </w:r>
      <w:r w:rsidRPr="00FB0005">
        <w:rPr>
          <w:rFonts w:ascii="Times New Roman" w:hAnsi="Times New Roman" w:cs="Times New Roman"/>
        </w:rPr>
        <w:instrText>ḥ</w:instrText>
      </w:r>
      <w:r w:rsidRPr="00FB0005">
        <w:rPr>
          <w:rFonts w:ascii="Garamond" w:hAnsi="Garamond" w:cstheme="majorBidi"/>
        </w:rPr>
        <w:instrText xml:space="preserve">adīth studies that examines on how Muslims interpret and express the </w:instrText>
      </w:r>
      <w:r w:rsidRPr="00FB0005">
        <w:rPr>
          <w:rFonts w:ascii="Times New Roman" w:hAnsi="Times New Roman" w:cs="Times New Roman"/>
        </w:rPr>
        <w:instrText>ḥ</w:instrText>
      </w:r>
      <w:r w:rsidRPr="00FB0005">
        <w:rPr>
          <w:rFonts w:ascii="Garamond" w:hAnsi="Garamond" w:cstheme="majorBidi"/>
        </w:rPr>
        <w:instrText xml:space="preserve">adīths in their daily lives, as well as how Indonesian Muslims link, communicate, and relate </w:instrText>
      </w:r>
      <w:r w:rsidRPr="00FB0005">
        <w:rPr>
          <w:rFonts w:ascii="Times New Roman" w:hAnsi="Times New Roman" w:cs="Times New Roman"/>
        </w:rPr>
        <w:instrText>ḥ</w:instrText>
      </w:r>
      <w:r w:rsidRPr="00FB0005">
        <w:rPr>
          <w:rFonts w:ascii="Garamond" w:hAnsi="Garamond" w:cstheme="majorBidi"/>
        </w:rPr>
        <w:instrText xml:space="preserve">adīths to local traditions and how local cultures assimilate and interact with the texts. This article also finds that the paradigm of living </w:instrText>
      </w:r>
      <w:r w:rsidRPr="00FB0005">
        <w:rPr>
          <w:rFonts w:ascii="Times New Roman" w:hAnsi="Times New Roman" w:cs="Times New Roman"/>
        </w:rPr>
        <w:instrText>ḥ</w:instrText>
      </w:r>
      <w:r w:rsidRPr="00FB0005">
        <w:rPr>
          <w:rFonts w:ascii="Garamond" w:hAnsi="Garamond" w:cstheme="majorBidi"/>
        </w:rPr>
        <w:instrText xml:space="preserve">adīth differs from the disciplines of sociology and anthropology of religion, presenting its epistemology through five areas of focus: practice, reception, text, transmission, and transformation.","container-title":"Culture and Religion","DOI":"10.1080/14755610.2024.2336461","ISSN":"1475-5610","issue":"4","note":"publisher: Routledge\n_eprint: https://doi.org/10.1080/14755610.2024.2336461","page":"353-372","source":"Taylor and Francis+NEJM","title":"The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 a new direction of </w:instrText>
      </w:r>
      <w:r w:rsidRPr="00FB0005">
        <w:rPr>
          <w:rFonts w:ascii="Times New Roman" w:hAnsi="Times New Roman" w:cs="Times New Roman"/>
        </w:rPr>
        <w:instrText>ḥ</w:instrText>
      </w:r>
      <w:r w:rsidRPr="00FB0005">
        <w:rPr>
          <w:rFonts w:ascii="Garamond" w:hAnsi="Garamond" w:cstheme="majorBidi"/>
        </w:rPr>
        <w:instrText xml:space="preserve">adīth studies in Indonesia","title-short":"The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adīth","volume":"23","author":[{"family":"Qudsy","given":"Saifuddin Zuhri"},{"family":"Abdullah","given":"Irwan"},{"family":"Jubba","given":"Hasse"},{"family":"Prasojo","given":"Zaenuddin Hudi"},{"family":"Tanadi Taufik","given":"Egi"}],"issued":{"date-parts":[["2023",10,2]]}},"locator":"8"}],"schema":"https://github.com/citation-style-language/schema/raw/master/csl-citation.json"}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Qudsy et al., 8.</w:t>
      </w:r>
      <w:r w:rsidRPr="00FB0005">
        <w:rPr>
          <w:rFonts w:ascii="Garamond" w:hAnsi="Garamond" w:cstheme="majorBidi"/>
        </w:rPr>
        <w:fldChar w:fldCharType="end"/>
      </w:r>
    </w:p>
  </w:footnote>
  <w:footnote w:id="22">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{"citationID":"paF9RRza","properties":{"formattedCitation":"Qudsy et al., 9\\uc0\\u8211{}10.","plainCitation":"Qudsy et al., 9–10.","noteIndex":11},"citationItems":[{"id":1043,"uris":["http://zotero.org/users/local/n49v5LOV/items/RWQNKCGF"],"itemData":{"id":1043,"type":"article-journal","abstract":"</w:instrText>
      </w:r>
      <w:r w:rsidRPr="00FB0005">
        <w:rPr>
          <w:rFonts w:ascii="Times New Roman" w:hAnsi="Times New Roman" w:cs="Times New Roman"/>
        </w:rPr>
        <w:instrText>Ḥ</w:instrText>
      </w:r>
      <w:r w:rsidRPr="00FB0005">
        <w:rPr>
          <w:rFonts w:ascii="Garamond" w:hAnsi="Garamond" w:cstheme="majorBidi"/>
        </w:rPr>
        <w:instrText xml:space="preserve">adīth studies identifies Islamic practices that originate from the text of the </w:instrText>
      </w:r>
      <w:r w:rsidRPr="00FB0005">
        <w:rPr>
          <w:rFonts w:ascii="Times New Roman" w:hAnsi="Times New Roman" w:cs="Times New Roman"/>
        </w:rPr>
        <w:instrText>ḥ</w:instrText>
      </w:r>
      <w:r w:rsidRPr="00FB0005">
        <w:rPr>
          <w:rFonts w:ascii="Garamond" w:hAnsi="Garamond" w:cstheme="majorBidi"/>
        </w:rPr>
        <w:instrText xml:space="preserve">adīths or the traditions of the Prophet Muhammad. The term ‘living </w:instrText>
      </w:r>
      <w:r w:rsidRPr="00FB0005">
        <w:rPr>
          <w:rFonts w:ascii="Times New Roman" w:hAnsi="Times New Roman" w:cs="Times New Roman"/>
        </w:rPr>
        <w:instrText>ḥ</w:instrText>
      </w:r>
      <w:r w:rsidRPr="00FB0005">
        <w:rPr>
          <w:rFonts w:ascii="Garamond" w:hAnsi="Garamond" w:cstheme="majorBidi"/>
        </w:rPr>
        <w:instrText xml:space="preserve">adīth’ has emerged as a new direction to </w:instrText>
      </w:r>
      <w:r w:rsidRPr="00FB0005">
        <w:rPr>
          <w:rFonts w:ascii="Times New Roman" w:hAnsi="Times New Roman" w:cs="Times New Roman"/>
        </w:rPr>
        <w:instrText>ḥ</w:instrText>
      </w:r>
      <w:r w:rsidRPr="00FB0005">
        <w:rPr>
          <w:rFonts w:ascii="Garamond" w:hAnsi="Garamond" w:cstheme="majorBidi"/>
        </w:rPr>
        <w:instrText xml:space="preserve">adīth studies. This article seeks to explore the dynamics of living </w:instrText>
      </w:r>
      <w:r w:rsidRPr="00FB0005">
        <w:rPr>
          <w:rFonts w:ascii="Times New Roman" w:hAnsi="Times New Roman" w:cs="Times New Roman"/>
        </w:rPr>
        <w:instrText>ḥ</w:instrText>
      </w:r>
      <w:r w:rsidRPr="00FB0005">
        <w:rPr>
          <w:rFonts w:ascii="Garamond" w:hAnsi="Garamond" w:cstheme="majorBidi"/>
        </w:rPr>
        <w:instrText xml:space="preserve">adīths as they have emerged in and revitalised </w:instrText>
      </w:r>
      <w:r w:rsidRPr="00FB0005">
        <w:rPr>
          <w:rFonts w:ascii="Times New Roman" w:hAnsi="Times New Roman" w:cs="Times New Roman"/>
        </w:rPr>
        <w:instrText>ḥ</w:instrText>
      </w:r>
      <w:r w:rsidRPr="00FB0005">
        <w:rPr>
          <w:rFonts w:ascii="Garamond" w:hAnsi="Garamond" w:cstheme="majorBidi"/>
        </w:rPr>
        <w:instrText xml:space="preserve">adīth studies, especially within academic discourse of Indonesian Islamic universities. Important findings include that the living </w:instrText>
      </w:r>
      <w:r w:rsidRPr="00FB0005">
        <w:rPr>
          <w:rFonts w:ascii="Times New Roman" w:hAnsi="Times New Roman" w:cs="Times New Roman"/>
        </w:rPr>
        <w:instrText>ḥ</w:instrText>
      </w:r>
      <w:r w:rsidRPr="00FB0005">
        <w:rPr>
          <w:rFonts w:ascii="Garamond" w:hAnsi="Garamond" w:cstheme="majorBidi"/>
        </w:rPr>
        <w:instrText xml:space="preserve">adīth has become a subdiscipline of </w:instrText>
      </w:r>
      <w:r w:rsidRPr="00FB0005">
        <w:rPr>
          <w:rFonts w:ascii="Times New Roman" w:hAnsi="Times New Roman" w:cs="Times New Roman"/>
        </w:rPr>
        <w:instrText>ḥ</w:instrText>
      </w:r>
      <w:r w:rsidRPr="00FB0005">
        <w:rPr>
          <w:rFonts w:ascii="Garamond" w:hAnsi="Garamond" w:cstheme="majorBidi"/>
        </w:rPr>
        <w:instrText xml:space="preserve">adīth studies that examines on how Muslims interpret and express the </w:instrText>
      </w:r>
      <w:r w:rsidRPr="00FB0005">
        <w:rPr>
          <w:rFonts w:ascii="Times New Roman" w:hAnsi="Times New Roman" w:cs="Times New Roman"/>
        </w:rPr>
        <w:instrText>ḥ</w:instrText>
      </w:r>
      <w:r w:rsidRPr="00FB0005">
        <w:rPr>
          <w:rFonts w:ascii="Garamond" w:hAnsi="Garamond" w:cstheme="majorBidi"/>
        </w:rPr>
        <w:instrText xml:space="preserve">adīths in their daily lives, as well as how Indonesian Muslims link, communicate, and relate </w:instrText>
      </w:r>
      <w:r w:rsidRPr="00FB0005">
        <w:rPr>
          <w:rFonts w:ascii="Times New Roman" w:hAnsi="Times New Roman" w:cs="Times New Roman"/>
        </w:rPr>
        <w:instrText>ḥ</w:instrText>
      </w:r>
      <w:r w:rsidRPr="00FB0005">
        <w:rPr>
          <w:rFonts w:ascii="Garamond" w:hAnsi="Garamond" w:cstheme="majorBidi"/>
        </w:rPr>
        <w:instrText xml:space="preserve">adīths to local traditions and how local cultures assimilate and interact with the texts. This article also finds that the paradigm of living </w:instrText>
      </w:r>
      <w:r w:rsidRPr="00FB0005">
        <w:rPr>
          <w:rFonts w:ascii="Times New Roman" w:hAnsi="Times New Roman" w:cs="Times New Roman"/>
        </w:rPr>
        <w:instrText>ḥ</w:instrText>
      </w:r>
      <w:r w:rsidRPr="00FB0005">
        <w:rPr>
          <w:rFonts w:ascii="Garamond" w:hAnsi="Garamond" w:cstheme="majorBidi"/>
        </w:rPr>
        <w:instrText xml:space="preserve">adīth differs from the disciplines of sociology and anthropology of religion, presenting its epistemology through five areas of focus: practice, reception, text, transmission, and transformation.","container-title":"Culture and Religion","DOI":"10.1080/14755610.2024.2336461","ISSN":"1475-5610","issue":"4","note":"publisher: Routledge\n_eprint: https://doi.org/10.1080/14755610.2024.2336461","page":"353-372","source":"Taylor and Francis+NEJM","title":"The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 a new direction of </w:instrText>
      </w:r>
      <w:r w:rsidRPr="00FB0005">
        <w:rPr>
          <w:rFonts w:ascii="Times New Roman" w:hAnsi="Times New Roman" w:cs="Times New Roman"/>
        </w:rPr>
        <w:instrText>ḥ</w:instrText>
      </w:r>
      <w:r w:rsidRPr="00FB0005">
        <w:rPr>
          <w:rFonts w:ascii="Garamond" w:hAnsi="Garamond" w:cstheme="majorBidi"/>
        </w:rPr>
        <w:instrText xml:space="preserve">adīth studies in Indonesia","title-short":"The making of living </w:instrText>
      </w:r>
      <w:r w:rsidRPr="00FB0005">
        <w:rPr>
          <w:rFonts w:ascii="Times New Roman" w:hAnsi="Times New Roman" w:cs="Times New Roman"/>
        </w:rPr>
        <w:instrText>ḥ</w:instrText>
      </w:r>
      <w:r w:rsidRPr="00FB0005">
        <w:rPr>
          <w:rFonts w:ascii="Garamond" w:hAnsi="Garamond" w:cstheme="majorBidi"/>
        </w:rPr>
        <w:instrText xml:space="preserve">adīth","volume":"23","author":[{"family":"Qudsy","given":"Saifuddin Zuhri"},{"family":"Abdullah","given":"Irwan"},{"family":"Jubba","given":"Hasse"},{"family":"Prasojo","given":"Zaenuddin Hudi"},{"family":"Tanadi Taufik","given":"Egi"}],"issued":{"date-parts":[["2023",10,2]]}},"locator":"9-10"}],"schema":"https://github.com/citation-style-language/schema/raw/master/csl-citation.json"}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Qudsy et al., 9–10.</w:t>
      </w:r>
      <w:r w:rsidRPr="00FB0005">
        <w:rPr>
          <w:rFonts w:ascii="Garamond" w:hAnsi="Garamond" w:cstheme="majorBidi"/>
        </w:rPr>
        <w:fldChar w:fldCharType="end"/>
      </w:r>
    </w:p>
  </w:footnote>
  <w:footnote w:id="23">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{"citationID":"6K0NoOPM","properties":{"formattedCitation":"Qudsy, \\uc0\\u8220{}LIVING HADIS,\\uc0\\u8221{} 181.","plainCitation":"Qudsy, “LIVING HADIS,” 181.","dontUpdate":true,"noteIndex":12},"citationItems":[{"id":1811,"uris":["http://zotero.org/users/local/n49v5LOV/items/9XIXSU5P"],"itemData":{"id":1811,"type":"article-journal","abstract":"Within a decade, the study of Living Qur’an and Living Hadithand has flourished in Indonesia. Number of research about phenomena of either practices of rituals has been done. This article, departs from that fact, endeavors to explore model of living hadith, from its genealogical presence, theories that have been applied, up to technic which used into various kinds of research.","container-title":"Jurnal Living Hadis","DOI":"10.14421/livinghadis.2016.1073","ISSN":"2548-4761","issue":"1","language":"en","license":"Copyright (c) 2016 Living Hadis","note":"number: 1","page":"177-196","source":"ejournal.uin-suka.ac.id","title":"Living Hadis: Genealogi, Teori, Dan Aplikasi","title-short":"LIVING HADIS","volume":"1","author":[{"family":"Qudsy","given":"Saifuddin Zuhri"}],"issued":{"date-parts":[["2016",5,6]]}},"locator":"181"}],"schema":"https://github.com/citation-style-language/schema/raw/master/csl-citation.json"}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Qudsy, “Living Hadis,” 181.</w:t>
      </w:r>
      <w:r w:rsidRPr="00FB0005">
        <w:rPr>
          <w:rFonts w:ascii="Garamond" w:hAnsi="Garamond" w:cstheme="majorBidi"/>
        </w:rPr>
        <w:fldChar w:fldCharType="end"/>
      </w:r>
    </w:p>
  </w:footnote>
  <w:footnote w:id="24">
    <w:p w:rsidR="004F3629" w:rsidRPr="00FB0005" w:rsidRDefault="004F3629" w:rsidP="00FB14E1">
      <w:pPr>
        <w:pStyle w:val="FootnoteText"/>
        <w:jc w:val="both"/>
        <w:rPr>
          <w:rFonts w:ascii="Garamond" w:hAnsi="Garamond" w:cs="Traditional Arabic"/>
          <w:rtl/>
          <w:lang w:bidi="ar-EG"/>
        </w:rPr>
      </w:pPr>
      <w:r w:rsidRPr="00FB0005">
        <w:rPr>
          <w:rStyle w:val="FootnoteReference"/>
          <w:rFonts w:ascii="Garamond" w:hAnsi="Garamond"/>
        </w:rPr>
        <w:footnoteRef/>
      </w:r>
      <w:r w:rsidRPr="00FB0005">
        <w:rPr>
          <w:rFonts w:ascii="Garamond" w:hAnsi="Garamond" w:cs="Traditional Arabic"/>
        </w:rPr>
        <w:t xml:space="preserve"> “Saudi Arabia, the production center for the Qur'an and Hadith, and Indonesia, the country with the largest Muslim population in the world, </w:t>
      </w:r>
      <w:proofErr w:type="gramStart"/>
      <w:r w:rsidRPr="00FB0005">
        <w:rPr>
          <w:rFonts w:ascii="Garamond" w:hAnsi="Garamond" w:cs="Traditional Arabic"/>
        </w:rPr>
        <w:t>have</w:t>
      </w:r>
      <w:proofErr w:type="gramEnd"/>
      <w:r w:rsidRPr="00FB0005">
        <w:rPr>
          <w:rFonts w:ascii="Garamond" w:hAnsi="Garamond" w:cs="Traditional Arabic"/>
        </w:rPr>
        <w:t xml:space="preserve"> different cultures and environments. The geographical differences between the regions of Mecca and Medina, which are mostly desert, are certainly different from Indonesia, a country where most of the land is covered with forests. This is certainly also different in terms of traditions and culture”. </w:t>
      </w:r>
      <w:r w:rsidRPr="00FB0005">
        <w:rPr>
          <w:rFonts w:ascii="Garamond" w:hAnsi="Garamond" w:cs="Traditional Arabic"/>
          <w:lang w:bidi="ar-EG"/>
        </w:rPr>
        <w:fldChar w:fldCharType="begin"/>
      </w:r>
      <w:r w:rsidRPr="00FB0005">
        <w:rPr>
          <w:rFonts w:ascii="Garamond" w:hAnsi="Garamond" w:cs="Traditional Arabic"/>
          <w:lang w:bidi="ar-EG"/>
        </w:rPr>
        <w:instrText xml:space="preserve"> ADDIN ZOTERO_ITEM CSL_CITATION {"citationID":"6UNOBRs2","properties":{"formattedCitation":"Zuhri Qudsy and Sukuma Dewi, {\\i{}Living Hadis: Praktik, Resepsi, Teks, Dan Transmisi}, 10.","plainCitation":"Zuhri Qudsy and Sukuma Dewi, Living Hadis: Praktik, Resepsi, Teks, Dan Transmisi, 10.","noteIndex":13},"citationItems":[{"id":1845,"uris":["http://zotero.org/users/local/n49v5LOV/items/LLC44JLF"],"itemData":{"id":1845,"type":"book","event-place":"Jogjakarta","publisher":"Q-Media","publisher-place":"Jogjakarta","title":"Living Hadis: Praktik, Resepsi, Teks, dan Transmisi","author":[{"family":"Zuhri Qudsy","given":"Saifuddin"},{"family":"Sukuma Dewi","given":"Subkhani"}],"issued":{"date-parts":[["2018"]]}},"locator":"10"}],"schema":"https://github.com/citation-style-language/schema/raw/master/csl-citation.json"} </w:instrText>
      </w:r>
      <w:r w:rsidRPr="00FB0005">
        <w:rPr>
          <w:rFonts w:ascii="Garamond" w:hAnsi="Garamond" w:cs="Traditional Arabic"/>
          <w:lang w:bidi="ar-EG"/>
        </w:rPr>
        <w:fldChar w:fldCharType="separate"/>
      </w:r>
      <w:r w:rsidRPr="00FB0005">
        <w:rPr>
          <w:rFonts w:ascii="Garamond" w:hAnsi="Garamond" w:cstheme="majorBidi"/>
        </w:rPr>
        <w:t xml:space="preserve">Zuhri Qudsy and Sukuma Dewi, </w:t>
      </w:r>
      <w:r w:rsidRPr="00FB0005">
        <w:rPr>
          <w:rFonts w:ascii="Garamond" w:hAnsi="Garamond" w:cstheme="majorBidi"/>
          <w:i/>
          <w:iCs/>
        </w:rPr>
        <w:t>Living Hadis: Praktik, Resepsi, Teks, Dan Transmisi</w:t>
      </w:r>
      <w:r w:rsidRPr="00FB0005">
        <w:rPr>
          <w:rFonts w:ascii="Garamond" w:hAnsi="Garamond" w:cstheme="majorBidi"/>
        </w:rPr>
        <w:t>, 10</w:t>
      </w:r>
      <w:r w:rsidRPr="00FB0005">
        <w:rPr>
          <w:rFonts w:ascii="Garamond" w:hAnsi="Garamond" w:cs="Traditional Arabic"/>
        </w:rPr>
        <w:t>.</w:t>
      </w:r>
      <w:r w:rsidRPr="00FB0005">
        <w:rPr>
          <w:rFonts w:ascii="Garamond" w:hAnsi="Garamond" w:cs="Traditional Arabic"/>
          <w:lang w:bidi="ar-EG"/>
        </w:rPr>
        <w:fldChar w:fldCharType="end"/>
      </w:r>
    </w:p>
  </w:footnote>
  <w:footnote w:id="25">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{"citationID":"wCubhvTB","properties":{"formattedCitation":"Hans P. Neisser, \\uc0\\u8220{}The Phenomenological Approach in Social Science,\\uc0\\u8221{} {\\i{}Philosophy and Phenomenological Research} 20, no. 2 (1959): 198, https://doi.org/10.2307/2104356.","plainCitation":"Hans P. Neisser, “The Phenomenological Approach in Social Science,” Philosophy and Phenomenological Research 20, no. 2 (1959): 198, https://doi.org/10.2307/2104356.","noteIndex":15},"citationItems":[{"id":1847,"uris":["http://zotero.org/users/local/n49v5LOV/items/4BVGVWNK"],"itemData":{"id":1847,"type":"article-journal","container-title":"Philosophy and Phenomenological Research","DOI":"10.2307/2104356","ISSN":"0031-8205","issue":"2","note":"publisher: [International Phenomenological Society, Philosophy and Phenomenological Research, Wiley]","page":"198-212","source":"JSTOR","title":"The Phenomenological Approach in Social Science","volume":"20","author":[{"family":"Neisser","given":"Hans P."}],"issued":{"date-parts":[["1959"]]}},"locator":"198"}],"schema":"https://github.com/citation-style-language/schema/raw/master/csl-citation.json"}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Hans P. Neisser, “The Phenomenological Approach in Social Science,” </w:t>
      </w:r>
      <w:r w:rsidRPr="00FB0005">
        <w:rPr>
          <w:rFonts w:ascii="Garamond" w:hAnsi="Garamond" w:cstheme="majorBidi"/>
          <w:i/>
          <w:iCs/>
          <w:szCs w:val="24"/>
        </w:rPr>
        <w:t>Philosophy and Phenomenological Research</w:t>
      </w:r>
      <w:r w:rsidRPr="00FB0005">
        <w:rPr>
          <w:rFonts w:ascii="Garamond" w:hAnsi="Garamond" w:cstheme="majorBidi"/>
          <w:szCs w:val="24"/>
        </w:rPr>
        <w:t xml:space="preserve"> 20, no. 2 (1959): 198, https://doi.org/10.2307/2104356.</w:t>
      </w:r>
      <w:r w:rsidRPr="00FB0005">
        <w:rPr>
          <w:rFonts w:ascii="Garamond" w:hAnsi="Garamond" w:cstheme="majorBidi"/>
        </w:rPr>
        <w:fldChar w:fldCharType="end"/>
      </w:r>
    </w:p>
  </w:footnote>
  <w:footnote w:id="26">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{"citationID":"7pntvLFh","properties":{"formattedCitation":"Zuhri Qudsy and Sukuma Dewi, {\\i{}Living Hadis: Praktik, Resepsi, Teks, Dan Transmisi}, 16\\uc0\\u8211{}17.","plainCitation":"Zuhri Qudsy and Sukuma Dewi, Living Hadis: Praktik, Resepsi, Teks, Dan Transmisi, 16–17.","noteIndex":16},"citationItems":[{"id":1845,"uris":["http://zotero.org/users/local/n49v5LOV/items/LLC44JLF"],"itemData":{"id":1845,"type":"book","event-place":"Jogjakarta","publisher":"Q-Media","publisher-place":"Jogjakarta","title":"Living Hadis: Praktik, Resepsi, Teks, dan Transmisi","author":[{"family":"Zuhri Qudsy","given":"Saifuddin"},{"family":"Sukuma Dewi","given":"Subkhani"}],"issued":{"date-parts":[["2018"]]}},"locator":"16-17"}],"schema":"https://github.com/citation-style-language/schema/raw/master/csl-citation.json"}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Zuhri Qudsy and Sukuma Dewi, </w:t>
      </w:r>
      <w:r w:rsidRPr="00FB0005">
        <w:rPr>
          <w:rFonts w:ascii="Garamond" w:hAnsi="Garamond" w:cstheme="majorBidi"/>
          <w:i/>
          <w:iCs/>
          <w:szCs w:val="24"/>
        </w:rPr>
        <w:t>Living Hadis: Praktik, Resepsi, Teks, Dan Transmisi</w:t>
      </w:r>
      <w:r w:rsidRPr="00FB0005">
        <w:rPr>
          <w:rFonts w:ascii="Garamond" w:hAnsi="Garamond" w:cstheme="majorBidi"/>
          <w:szCs w:val="24"/>
        </w:rPr>
        <w:t>, 16–17.</w:t>
      </w:r>
      <w:r w:rsidRPr="00FB0005">
        <w:rPr>
          <w:rFonts w:ascii="Garamond" w:hAnsi="Garamond" w:cstheme="majorBidi"/>
        </w:rPr>
        <w:fldChar w:fldCharType="end"/>
      </w:r>
    </w:p>
  </w:footnote>
  <w:footnote w:id="27">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{"citationID":"QFPhaWMv","properties":{"formattedCitation":"James L. Heap and Phillip A. Roth, \\uc0\\u8220{}On Phenomenological Sociology,\\uc0\\u8221{} {\\i{}American Sociological Review} 38, no. 3 (1973): 355, https://doi.org/10.2307/2094358.","plainCitation":"James L. Heap and Phillip A. Roth, “On Phenomenological Sociology,” American Sociological Review 38, no. 3 (1973): 355, https://doi.org/10.2307/2094358.","noteIndex":17},"citationItems":[{"id":1855,"uris":["http://zotero.org/users/local/n49v5LOV/items/5NVT3VAM"],"itemData":{"id":1855,"type":"article-journal","abstract":"The works of Tiryakian, Bruyn and Douglas are examined as representative of \"phenomenological sociology.\" Radical problems are discovered in their use of key concepts in phenomenology: intention, reduction, phenomenon and essence. These problems are shown to arise out of a failure to grasp the nature of the phenomenological enterprise and its relationship to sociology. Turning back to the original formulation of this relationship by Husserl, we discover problems of transcendental intersubjectivity, of type and essence, and of objectivism. We then point out the existence of sociologies which do not share the shortcomings of what is called phenomenological sociology, yet which make use of the perspective and approach of phenomenology. We then focus on one of these sociologies, ethnomethodology in its relation to phenomenology. We find parallels in their methodology and domains of inquiry, and divergency in their approaches to intersubjectivity.","container-title":"American Sociological Review","DOI":"10.2307/2094358","ISSN":"0003-1224","issue":"3","note":"publisher: [American Sociological Association, Sage Publications, Inc.]","page":"354-367","source":"JSTOR","title":"On Phenomenological Sociology","volume":"38","author":[{"family":"Heap","given":"James L."},{"family":"Roth","given":"Phillip A."}],"issued":{"date-parts":[["1973"]]}},"locator":"355"}],"schema":"https://github.com/citation-style-language/schema/raw/master/csl-citation.json"}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James L. Heap and Phillip A. Roth, “On Phenomenological Sociology,” </w:t>
      </w:r>
      <w:r w:rsidRPr="00FB0005">
        <w:rPr>
          <w:rFonts w:ascii="Garamond" w:hAnsi="Garamond" w:cstheme="majorBidi"/>
          <w:i/>
          <w:iCs/>
          <w:szCs w:val="24"/>
        </w:rPr>
        <w:t>American Sociological Review</w:t>
      </w:r>
      <w:r w:rsidRPr="00FB0005">
        <w:rPr>
          <w:rFonts w:ascii="Garamond" w:hAnsi="Garamond" w:cstheme="majorBidi"/>
          <w:szCs w:val="24"/>
        </w:rPr>
        <w:t xml:space="preserve"> 38, no. 3 (1973): 355, https://doi.org/10.2307/2094358.</w:t>
      </w:r>
      <w:r w:rsidRPr="00FB0005">
        <w:rPr>
          <w:rFonts w:ascii="Garamond" w:hAnsi="Garamond" w:cstheme="majorBidi"/>
        </w:rPr>
        <w:fldChar w:fldCharType="end"/>
      </w:r>
    </w:p>
  </w:footnote>
  <w:footnote w:id="28">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{"citationID":"OD6jIKi0","properties":{"formattedCitation":"Heap and Roth, 357.","plainCitation":"Heap and Roth, 357.","noteIndex":18},"citationItems":[{"id":1855,"uris":["http://zotero.org/users/local/n49v5LOV/items/5NVT3VAM"],"itemData":{"id":1855,"type":"article-journal","abstract":"The works of Tiryakian, Bruyn and Douglas are examined as representative of \"phenomenological sociology.\" Radical problems are discovered in their use of key concepts in phenomenology: intention, reduction, phenomenon and essence. These problems are shown to arise out of a failure to grasp the nature of the phenomenological enterprise and its relationship to sociology. Turning back to the original formulation of this relationship by Husserl, we discover problems of transcendental intersubjectivity, of type and essence, and of objectivism. We then point out the existence of sociologies which do not share the shortcomings of what is called phenomenological sociology, yet which make use of the perspective and approach of phenomenology. We then focus on one of these sociologies, ethnomethodology in its relation to phenomenology. We find parallels in their methodology and domains of inquiry, and divergency in their approaches to intersubjectivity.","container-title":"American Sociological Review","DOI":"10.2307/2094358","ISSN":"0003-1224","issue":"3","note":"publisher: [American Sociological Association, Sage Publications, Inc.]","page":"354-367","source":"JSTOR","title":"On Phenomenological Sociology","volume":"38","author":[{"family":"Heap","given":"James L."},{"family":"Roth","given":"Phillip A."}],"issued":{"date-parts":[["1973"]]}},"locator":"357"}],"schema":"https://github.com/citation-style-language/schema/raw/master/csl-citation.json"}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Heap and Roth, 357.</w:t>
      </w:r>
      <w:r w:rsidRPr="00FB0005">
        <w:rPr>
          <w:rFonts w:ascii="Garamond" w:hAnsi="Garamond" w:cstheme="majorBidi"/>
        </w:rPr>
        <w:fldChar w:fldCharType="end"/>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{"citationID":"mvBOpgDN","properties":{"formattedCitation":"A. J. Ayer, \\uc0\\u8220{}Cogito, Ergo Sum,\\uc0\\u8221{} {\\i{}Analysis} 14, no. 2 (1953): 27, https://doi.org/10.2307/3326309.","plainCitation":"A. J. Ayer, “Cogito, Ergo Sum,” Analysis 14, no. 2 (1953): 27, https://doi.org/10.2307/3326309.","noteIndex":18},"citationItems":[{"id":1881,"uris":["http://zotero.org/users/local/n49v5LOV/items/GLX398KD"],"itemData":{"id":1881,"type":"article-journal","container-title":"Analysis","DOI":"10.2307/3326309","ISSN":"0003-2638","issue":"2","note":"publisher: [Analysis Committee, Oxford University Press]","page":"27-31","source":"JSTOR","title":"Cogito, Ergo Sum","volume":"14","author":[{"family":"Ayer","given":"A. J."}],"issued":{"date-parts":[["1953"]]}},"locator":"27"}],"schema":"https://github.com/citation-style-language/schema/raw/master/csl-citation.json"}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A. J. Ayer, “Cogito, Ergo Sum,” </w:t>
      </w:r>
      <w:r w:rsidRPr="00FB0005">
        <w:rPr>
          <w:rFonts w:ascii="Garamond" w:hAnsi="Garamond" w:cs="Times New Roman"/>
          <w:i/>
          <w:iCs/>
          <w:szCs w:val="24"/>
        </w:rPr>
        <w:t>Analysis</w:t>
      </w:r>
      <w:r w:rsidRPr="00FB0005">
        <w:rPr>
          <w:rFonts w:ascii="Garamond" w:hAnsi="Garamond" w:cs="Times New Roman"/>
          <w:szCs w:val="24"/>
        </w:rPr>
        <w:t xml:space="preserve"> 14, no. 2 (1953): 27, https://doi.org/10.2307/3326309.</w:t>
      </w:r>
      <w:r w:rsidRPr="00FB0005">
        <w:rPr>
          <w:rFonts w:ascii="Garamond" w:hAnsi="Garamond" w:cstheme="majorBidi"/>
        </w:rPr>
        <w:fldChar w:fldCharType="end"/>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{"citationID":"x25EHWYe","properties":{"formattedCitation":"Jaakko Hintikka, \\uc0\\u8220{}Cogito, Ergo Sum: Inference or Performance?,\\uc0\\u8221{} {\\i{}The Philosophical Review} 71, no. 1 (1962): 4, https://doi.org/10.2307/2183678.","plainCitation":"Jaakko Hintikka, “Cogito, Ergo Sum: Inference or Performance?,” The Philosophical Review 71, no. 1 (1962): 4, https://doi.org/10.2307/2183678.","noteIndex":18},"citationItems":[{"id":1880,"uris":["http://zotero.org/users/local/n49v5LOV/items/4MJJHDY4"],"itemData":{"id":1880,"type":"article-journal","container-title":"The Philosophical Review","DOI":"10.2307/2183678","ISSN":"0031-8108","issue":"1","note":"publisher: [Duke University Press, Philosophical Review]","page":"3-32","source":"JSTOR","title":"Cogito, Ergo Sum: Inference or Performance?","title-short":"Cogito, Ergo Sum","volume":"71","author":[{"family":"Hintikka","given":"Jaakko"}],"issued":{"date-parts":[["1962"]]}},"locator":"4"}],"schema":"https://github.com/citation-style-language/schema/raw/master/csl-citation.json"}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Jaakko Hintikka, “Cogito, Ergo Sum: Inference or Performance?,” </w:t>
      </w:r>
      <w:r w:rsidRPr="00FB0005">
        <w:rPr>
          <w:rFonts w:ascii="Garamond" w:hAnsi="Garamond" w:cs="Times New Roman"/>
          <w:i/>
          <w:iCs/>
          <w:szCs w:val="24"/>
        </w:rPr>
        <w:t>The Philosophical Review</w:t>
      </w:r>
      <w:r w:rsidRPr="00FB0005">
        <w:rPr>
          <w:rFonts w:ascii="Garamond" w:hAnsi="Garamond" w:cs="Times New Roman"/>
          <w:szCs w:val="24"/>
        </w:rPr>
        <w:t xml:space="preserve"> 71, no. 1 (1962): 4, https://doi.org/10.2307/2183678.</w:t>
      </w:r>
      <w:r w:rsidRPr="00FB0005">
        <w:rPr>
          <w:rFonts w:ascii="Garamond" w:hAnsi="Garamond" w:cstheme="majorBidi"/>
        </w:rPr>
        <w:fldChar w:fldCharType="end"/>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{"citationID":"LJq6xaWl","properties":{"formattedCitation":"Jim Stone, \\uc0\\u8220{}Cogito Ergo Sum,\\uc0\\u8221{} {\\i{}The Journal of Philosophy} 90, no. 9 (1993): 462, https://doi.org/10.2307/2940860.","plainCitation":"Jim Stone, “Cogito Ergo Sum,” The Journal of Philosophy 90, no. 9 (1993): 462, https://doi.org/10.2307/2940860.","noteIndex":18},"citationItems":[{"id":1879,"uris":["http://zotero.org/users/local/n49v5LOV/items/6JXDNZPM"],"itemData":{"id":1879,"type":"article-journal","container-title":"The Journal of Philosophy","DOI":"10.2307/2940860","ISSN":"0022-362X","issue":"9","note":"publisher: Journal of Philosophy, Inc.","page":"462-468","source":"JSTOR","title":"Cogito Ergo Sum","volume":"90","author":[{"family":"Stone","given":"Jim"}],"issued":{"date-parts":[["1993"]]}},"locator":"462"}],"schema":"https://github.com/citation-style-language/schema/raw/master/csl-citation.json"}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Jim Stone, “Cogito Ergo Sum,” </w:t>
      </w:r>
      <w:r w:rsidRPr="00FB0005">
        <w:rPr>
          <w:rFonts w:ascii="Garamond" w:hAnsi="Garamond" w:cs="Times New Roman"/>
          <w:i/>
          <w:iCs/>
          <w:szCs w:val="24"/>
        </w:rPr>
        <w:t>The Journal of Philosophy</w:t>
      </w:r>
      <w:r w:rsidRPr="00FB0005">
        <w:rPr>
          <w:rFonts w:ascii="Garamond" w:hAnsi="Garamond" w:cs="Times New Roman"/>
          <w:szCs w:val="24"/>
        </w:rPr>
        <w:t xml:space="preserve"> 90, no. 9 (1993): 462, https://doi.org/10.2307/2940860.</w:t>
      </w:r>
      <w:r w:rsidRPr="00FB0005">
        <w:rPr>
          <w:rFonts w:ascii="Garamond" w:hAnsi="Garamond" w:cstheme="majorBidi"/>
        </w:rPr>
        <w:fldChar w:fldCharType="end"/>
      </w:r>
      <w:r w:rsidRPr="00FB0005">
        <w:rPr>
          <w:rFonts w:ascii="Garamond" w:hAnsi="Garamond" w:cstheme="majorBidi"/>
        </w:rPr>
        <w:t xml:space="preserve"> Berger, Harry. “Naive Consciousness and Culture Change: An Essay in Historical Structuralism.” The Bulletin of the Midwest Modern Language Association 6, no. 1 (1973): 1–44. https://doi.org/10.2307/1314847.</w:t>
      </w:r>
    </w:p>
  </w:footnote>
  <w:footnote w:id="29">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{"citationID":"7m63llRN","properties":{"formattedCitation":"Thomas W. Busch, \\uc0\\u8220{}Phenomenology as Humanism: The Case of Husserl and Sartre,\\uc0\\u8221{} {\\i{}Research in Phenomenology} 9 (1979): 131.","plainCitation":"Thomas W. Busch, “Phenomenology as Humanism: The Case of Husserl and Sartre,” Research in Phenomenology 9 (1979): 131.","noteIndex":19},"citationItems":[{"id":1858,"uris":["http://zotero.org/users/local/n49v5LOV/items/BVSLIXT3"],"itemData":{"id":1858,"type":"article-journal","container-title":"Research in Phenomenology","ISSN":"0085-5553","note":"publisher: Brill","page":"127-143","source":"JSTOR","title":"Phenomenology as Humanism: The Case of Husserl and Sartre","title-short":"Phenomenology as Humanism","volume":"9","author":[{"family":"Busch","given":"Thomas W."}],"issued":{"date-parts":[["1979"]]}},"locator":"131"}],"schema":"https://github.com/citation-style-language/schema/raw/master/csl-citation.json"}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Thomas W. Busch, “Phenomenology as Humanism: The Case of Husserl and Sartre,” </w:t>
      </w:r>
      <w:r w:rsidRPr="00FB0005">
        <w:rPr>
          <w:rFonts w:ascii="Garamond" w:hAnsi="Garamond" w:cstheme="majorBidi"/>
          <w:i/>
          <w:iCs/>
          <w:szCs w:val="24"/>
        </w:rPr>
        <w:t>Research in Phenomenology</w:t>
      </w:r>
      <w:r w:rsidRPr="00FB0005">
        <w:rPr>
          <w:rFonts w:ascii="Garamond" w:hAnsi="Garamond" w:cstheme="majorBidi"/>
          <w:szCs w:val="24"/>
        </w:rPr>
        <w:t xml:space="preserve"> 9 (1979): 131.</w:t>
      </w:r>
      <w:r w:rsidRPr="00FB0005">
        <w:rPr>
          <w:rFonts w:ascii="Garamond" w:hAnsi="Garamond" w:cstheme="majorBidi"/>
        </w:rPr>
        <w:fldChar w:fldCharType="end"/>
      </w:r>
    </w:p>
  </w:footnote>
  <w:footnote w:id="30">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{"citationID":"sy620BN8","properties":{"formattedCitation":"Masykur Wahid, \\uc0\\u8220{}Hermeneutika Fenomenologis Dalam Studi Living Hadits,\\uc0\\u8221{} {\\i{}Jurnal Holistic} 01, no. 02 (2015): 327.","plainCitation":"Masykur Wahid, “Hermeneutika Fenomenologis Dalam Studi Living Hadits,” Jurnal Holistic 01, no. 02 (2015): 327.","noteIndex":20},"citationItems":[{"id":1814,"uris":["http://zotero.org/users/local/n49v5LOV/items/QLDPSITB"],"itemData":{"id":1814,"type":"article-journal","abstract":"This paper discusses about Ricoeur’s phenomenological hermeneutics. It is a method based on the text interpretation. Author interested in the phenomenon of religiosity in the study of living hadith. It raises the question, what is Ricoeur's phenomenological hermeneutics and how it can be applied? Ricoeur's phenomenological hermeneutics is a synthesis of hermeneutics and phenomenology. In its application, utilizing the text paradigm, the interpretation should be developed through three stages: semantics, reflective and existential. It concludes that the phenomenological hermeneutics can analyze the phenomenon of religiosity that produces eschatology.","container-title":"Jurnal Holistic","issue":"02","language":"id","source":"Zotero","title":"Hermeneutika Fenomenologis Dalam Studi Living Hadits","volume":"01","author":[{"family":"Wahid","given":"Masykur"}],"issued":{"date-parts":[["2015"]]}},"locator":"327"}],"schema":"https://github.com/citation-style-language/schema/raw/master/csl-citation.json"}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Masykur Wahid, “Hermeneutika Fenomenologis Dalam Studi Living Hadits,” </w:t>
      </w:r>
      <w:r w:rsidRPr="00FB0005">
        <w:rPr>
          <w:rFonts w:ascii="Garamond" w:hAnsi="Garamond" w:cstheme="majorBidi"/>
          <w:i/>
          <w:iCs/>
          <w:szCs w:val="24"/>
        </w:rPr>
        <w:t>Jurnal Holistic</w:t>
      </w:r>
      <w:r w:rsidRPr="00FB0005">
        <w:rPr>
          <w:rFonts w:ascii="Garamond" w:hAnsi="Garamond" w:cstheme="majorBidi"/>
          <w:szCs w:val="24"/>
        </w:rPr>
        <w:t xml:space="preserve"> 01, no. 02 (2015): 327.</w:t>
      </w:r>
      <w:r w:rsidRPr="00FB0005">
        <w:rPr>
          <w:rFonts w:ascii="Garamond" w:hAnsi="Garamond" w:cstheme="majorBidi"/>
        </w:rPr>
        <w:fldChar w:fldCharType="end"/>
      </w:r>
    </w:p>
  </w:footnote>
  <w:footnote w:id="31">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{"citationID":"8sG6a0Q3","properties":{"formattedCitation":"Anne Bell, \\uc0\\u8220{}A Narrative Approach to Research,\\uc0\\u8221{} n.d., 97.","plainCitation":"Anne Bell, “A Narrative Approach to Research,” n.d., 97.","noteIndex":21},"citationItems":[{"id":1903,"uris":["http://zotero.org/users/local/n49v5LOV/items/Y6ZQ849L"],"itemData":{"id":1903,"type":"article-journal","abstract":"In this paper I present a narrative approach to environmental education research. This approach evolved through a dynamic interplay between research questions, theory, experience, conversation, and reflection. I situate the approach with respect to narrative inquiry and clarify the key conceptual metaphors underpinning my study, including “story,” “narrative,” and “metaphor.” I then discuss the particular methods involved and their compatibility with my underlying ontological and epistemological assumptions about the storied reality of human experience. Finally, I reflect on writing as part of the research process and on the possibilities and responsibilities inherent in the act of writing.","language":"en","source":"Zotero","title":"A Narrative Approach to Research","author":[{"family":"Bell","given":"Anne"}]},"locator":"97"}],"schema":"https://github.com/citation-style-language/schema/raw/master/csl-citation.json"}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Anne Bell, “A Narrative Approach to Research,” n.d., 97.</w:t>
      </w:r>
      <w:r w:rsidRPr="00FB0005">
        <w:rPr>
          <w:rFonts w:ascii="Garamond" w:hAnsi="Garamond" w:cstheme="majorBidi"/>
        </w:rPr>
        <w:fldChar w:fldCharType="end"/>
      </w:r>
    </w:p>
  </w:footnote>
  <w:footnote w:id="32">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{"citationID":"Nwx2RDuZ","properties":{"formattedCitation":"Harnet E. Manelis Klein, \\uc0\\u8220{}Narrative,\\uc0\\u8221{} {\\i{}Journal of Linguistic Anthropology} 9, no. 1/2 (1999): 167.","plainCitation":"Harnet E. Manelis Klein, “Narrative,” Journal of Linguistic Anthropology 9, no. 1/2 (1999): 167.","noteIndex":22},"citationItems":[{"id":1895,"uris":["http://zotero.org/users/local/n49v5LOV/items/D6VZN9Z8"],"itemData":{"id":1895,"type":"article-journal","container-title":"Journal of Linguistic Anthropology","ISSN":"1055-1360","issue":"1/2","note":"publisher: [American Anthropological Association, Wiley]","page":"167-169","source":"JSTOR","title":"Narrative","volume":"9","author":[{"family":"Klein","given":"Harnet E. Manelis"}],"issued":{"date-parts":[["1999"]]}},"locator":"167"}],"schema":"https://github.com/citation-style-language/schema/raw/master/csl-citation.json"}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Harnet E. Manelis Klein, “Narrative,” </w:t>
      </w:r>
      <w:r w:rsidRPr="00FB0005">
        <w:rPr>
          <w:rFonts w:ascii="Garamond" w:hAnsi="Garamond" w:cstheme="majorBidi"/>
          <w:i/>
          <w:iCs/>
          <w:szCs w:val="24"/>
        </w:rPr>
        <w:t>Journal of Linguistic Anthropology</w:t>
      </w:r>
      <w:r w:rsidRPr="00FB0005">
        <w:rPr>
          <w:rFonts w:ascii="Garamond" w:hAnsi="Garamond" w:cstheme="majorBidi"/>
          <w:szCs w:val="24"/>
        </w:rPr>
        <w:t xml:space="preserve"> 9, no. 1/2 (1999): 167.</w:t>
      </w:r>
      <w:r w:rsidRPr="00FB0005">
        <w:rPr>
          <w:rFonts w:ascii="Garamond" w:hAnsi="Garamond" w:cstheme="majorBidi"/>
        </w:rPr>
        <w:fldChar w:fldCharType="end"/>
      </w:r>
    </w:p>
  </w:footnote>
  <w:footnote w:id="33">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{"citationID":"CSkT2xO4","properties":{"formattedCitation":"John W. Creswell, {\\i{}Qualitative Inquiry and Research Design Choosing Among Five Approaches} (New Delhi: Sage Publications, 2007), 53\\uc0\\u8211{}54.","plainCitation":"John W. Creswell, Qualitative Inquiry and Research Design Choosing Among Five Approaches (New Delhi: Sage Publications, 2007), 53–54.","noteIndex":23},"citationItems":[{"id":1917,"uris":["http://zotero.org/users/local/n49v5LOV/items/YY3GTUSB"],"itemData":{"id":1917,"type":"book","event-place":"New Delhi","publisher":"Sage Publications","publisher-place":"New Delhi","title":"Qualitative Inquiry and Research Design Choosing Among Five Approaches","author":[{"family":"W. Creswell","given":"John"}],"issued":{"date-parts":[["2007"]]}},"locator":"53-54"}],"schema":"https://github.com/citation-style-language/schema/raw/master/csl-citation.json"}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John W. Creswell, </w:t>
      </w:r>
      <w:r w:rsidRPr="00FB0005">
        <w:rPr>
          <w:rFonts w:ascii="Garamond" w:hAnsi="Garamond" w:cstheme="majorBidi"/>
          <w:i/>
          <w:iCs/>
          <w:szCs w:val="24"/>
        </w:rPr>
        <w:t>Qualitative Inquiry and Research Design Choosing Among Five Approaches</w:t>
      </w:r>
      <w:r w:rsidRPr="00FB0005">
        <w:rPr>
          <w:rFonts w:ascii="Garamond" w:hAnsi="Garamond" w:cstheme="majorBidi"/>
          <w:szCs w:val="24"/>
        </w:rPr>
        <w:t xml:space="preserve"> (New Delhi: Sage Publications, 2007), 53–54.</w:t>
      </w:r>
      <w:r w:rsidRPr="00FB0005">
        <w:rPr>
          <w:rFonts w:ascii="Garamond" w:hAnsi="Garamond" w:cstheme="majorBidi"/>
        </w:rPr>
        <w:fldChar w:fldCharType="end"/>
      </w:r>
    </w:p>
  </w:footnote>
  <w:footnote w:id="34">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{"citationID":"hoUiMhIp","properties":{"formattedCitation":"Zuhri Qudsy and Sukuma Dewi, {\\i{}Living Hadis: Praktik, Resepsi, Teks, Dan Transmisi}, 19.","plainCitation":"Zuhri Qudsy and Sukuma Dewi, Living Hadis: Praktik, Resepsi, Teks, Dan Transmisi, 19.","noteIndex":24},"citationItems":[{"id":1845,"uris":["http://zotero.org/users/local/n49v5LOV/items/LLC44JLF"],"itemData":{"id":1845,"type":"book","event-place":"Jogjakarta","publisher":"Q-Media","publisher-place":"Jogjakarta","title":"Living Hadis: Praktik, Resepsi, Teks, dan Transmisi","author":[{"family":"Zuhri Qudsy","given":"Saifuddin"},{"family":"Sukuma Dewi","given":"Subkhani"}],"issued":{"date-parts":[["2018"]]}},"locator":"19"}],"schema":"https://github.com/citation-style-language/schema/raw/master/csl-citation.json"}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Zuhri Qudsy and Sukuma Dewi, </w:t>
      </w:r>
      <w:r w:rsidRPr="00FB0005">
        <w:rPr>
          <w:rFonts w:ascii="Garamond" w:hAnsi="Garamond" w:cstheme="majorBidi"/>
          <w:i/>
          <w:iCs/>
          <w:szCs w:val="24"/>
        </w:rPr>
        <w:t>Living Hadis: Praktik, Resepsi, Teks, Dan Transmisi</w:t>
      </w:r>
      <w:r w:rsidRPr="00FB0005">
        <w:rPr>
          <w:rFonts w:ascii="Garamond" w:hAnsi="Garamond" w:cstheme="majorBidi"/>
          <w:szCs w:val="24"/>
        </w:rPr>
        <w:t>, 19.</w:t>
      </w:r>
      <w:r w:rsidRPr="00FB0005">
        <w:rPr>
          <w:rFonts w:ascii="Garamond" w:hAnsi="Garamond" w:cstheme="majorBidi"/>
        </w:rPr>
        <w:fldChar w:fldCharType="end"/>
      </w:r>
    </w:p>
  </w:footnote>
  <w:footnote w:id="35">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{"citationID":"j8DVdD2o","properties":{"formattedCitation":"Gerald Prince and Arlene Noble, \\uc0\\u8220{}Narratology, Narrative, and Meaning,\\uc0\\u8221{} {\\i{}Poetics Today} 12, no. 3 (1991): 543, https://doi.org/10.2307/1772650.","plainCitation":"Gerald Prince and Arlene Noble, “Narratology, Narrative, and Meaning,” Poetics Today 12, no. 3 (1991): 543, https://doi.org/10.2307/1772650.","noteIndex":25},"citationItems":[{"id":1889,"uris":["http://zotero.org/users/local/n49v5LOV/items/KKRZKWBG"],"itemData":{"id":1889,"type":"article-journal","container-title":"Poetics Today","DOI":"10.2307/1772650","ISSN":"0333-5372","issue":"3","note":"publisher: [Duke University Press, Porter Institute for Poetics and Semiotics]","page":"543-552","source":"JSTOR","title":"Narratology, Narrative, and Meaning","volume":"12","author":[{"family":"Prince","given":"Gerald"},{"family":"Noble","given":"Arlene"}],"issued":{"date-parts":[["1991"]]}},"locator":"543"}],"schema":"https://github.com/citation-style-language/schema/raw/master/csl-citation.json"}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Gerald Prince and Arlene Noble, “Narratology, Narrative, and Meaning,” </w:t>
      </w:r>
      <w:r w:rsidRPr="00FB0005">
        <w:rPr>
          <w:rFonts w:ascii="Garamond" w:hAnsi="Garamond" w:cstheme="majorBidi"/>
          <w:i/>
          <w:iCs/>
          <w:szCs w:val="24"/>
        </w:rPr>
        <w:t>Poetics Today</w:t>
      </w:r>
      <w:r w:rsidRPr="00FB0005">
        <w:rPr>
          <w:rFonts w:ascii="Garamond" w:hAnsi="Garamond" w:cstheme="majorBidi"/>
          <w:szCs w:val="24"/>
        </w:rPr>
        <w:t xml:space="preserve"> 12, no. 3 (1991): 543, https://doi.org/10.2307/1772650.</w:t>
      </w:r>
      <w:r w:rsidRPr="00FB0005">
        <w:rPr>
          <w:rFonts w:ascii="Garamond" w:hAnsi="Garamond" w:cstheme="majorBidi"/>
        </w:rPr>
        <w:fldChar w:fldCharType="end"/>
      </w:r>
    </w:p>
  </w:footnote>
  <w:footnote w:id="36">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{"citationID":"cy1wn2Ia","properties":{"formattedCitation":"John\\uc0\\u160{}L. Jackson Jr., \\uc0\\u8220{}On Ethnographic Sincerity,\\uc0\\u8221{} {\\i{}Current Anthropology} 51, no. S2 (2010): 280, https://doi.org/10.1086/653129.","plainCitation":"John L. Jackson Jr., “On Ethnographic Sincerity,” Current Anthropology 51, no. S2 (2010): 280, https://doi.org/10.1086/653129.","noteIndex":26},"citationItems":[{"id":1918,"uris":["http://zotero.org/users/local/n49v5LOV/items/A7D7L5KW"],"itemData":{"id":1918,"type":"article-journal","abstract":"This essay posits sincerity and humor as linked ways of politicizing the interactions that underpin all ethnographic encounters. This politicization is contrasted with conventional anthropological preoccupations with authenticity (and fetishizations of ethnographic writing), and it demands attention to the human bodies that constitute ethnographic intersubjectivity. Combining a discussion of Habermas’s public sphere with the exploits of a nineteenth</w:instrText>
      </w:r>
      <w:r w:rsidRPr="00FB0005">
        <w:rPr>
          <w:rFonts w:ascii="Times New Roman" w:hAnsi="Times New Roman" w:cs="Times New Roman"/>
        </w:rPr>
        <w:instrText>‐</w:instrText>
      </w:r>
      <w:r w:rsidRPr="00FB0005">
        <w:rPr>
          <w:rFonts w:ascii="Garamond" w:hAnsi="Garamond" w:cstheme="majorBidi"/>
        </w:rPr>
        <w:instrText>century African American mesmerist and protoanthropologist, Paschal Randolph, I argue against one kind of “occulted anthropology” (the disembodied version attributed to Habermas) for an agential variety exemplified by Randolph’s differently framed investments in the political powers of occultist possibility. Instead of being seduced by would</w:instrText>
      </w:r>
      <w:r w:rsidRPr="00FB0005">
        <w:rPr>
          <w:rFonts w:ascii="Times New Roman" w:hAnsi="Times New Roman" w:cs="Times New Roman"/>
        </w:rPr>
        <w:instrText>‐</w:instrText>
      </w:r>
      <w:r w:rsidRPr="00FB0005">
        <w:rPr>
          <w:rFonts w:ascii="Garamond" w:hAnsi="Garamond" w:cstheme="majorBidi"/>
        </w:rPr>
        <w:instrText>be objective attempts to access a disembodied (i.e., universal) subjectivity, I argue for a Paschal</w:instrText>
      </w:r>
      <w:r w:rsidRPr="00FB0005">
        <w:rPr>
          <w:rFonts w:ascii="Times New Roman" w:hAnsi="Times New Roman" w:cs="Times New Roman"/>
        </w:rPr>
        <w:instrText>‐</w:instrText>
      </w:r>
      <w:r w:rsidRPr="00FB0005">
        <w:rPr>
          <w:rFonts w:ascii="Garamond" w:hAnsi="Garamond" w:cstheme="majorBidi"/>
        </w:rPr>
        <w:instrText xml:space="preserve">like reclamation of the vulnerable ethnographic body (in all of its contingent particularity), a reclamation that fuses rational minds to laughing bodies while opening up space for a critique of potentially impoverished conceptualizations of politics and political activity.","container-title":"Current Anthropology","DOI":"10.1086/653129","ISSN":"0011-3204","issue":"S2","note":"publisher: [The University of Chicago Press, Wenner-Gren Foundation for Anthropological Research]","page":"S279-S287","source":"JSTOR","title":"On Ethnographic Sincerity","volume":"51","author":[{"family":"Jackson Jr.","given":"John L."}],"issued":{"date-parts":[["2010"]]}},"locator":"280"}],"schema":"https://github.com/citation-style-language/schema/raw/master/csl-citation.json"}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John L. Jackson Jr., “On Ethnographic Sincerity,” </w:t>
      </w:r>
      <w:r w:rsidRPr="00FB0005">
        <w:rPr>
          <w:rFonts w:ascii="Garamond" w:hAnsi="Garamond" w:cstheme="majorBidi"/>
          <w:i/>
          <w:iCs/>
          <w:szCs w:val="24"/>
        </w:rPr>
        <w:t>Current Anthropology</w:t>
      </w:r>
      <w:r w:rsidRPr="00FB0005">
        <w:rPr>
          <w:rFonts w:ascii="Garamond" w:hAnsi="Garamond" w:cstheme="majorBidi"/>
          <w:szCs w:val="24"/>
        </w:rPr>
        <w:t xml:space="preserve"> 51, no. S2 (2010): 280, https://doi.org/10.1086/653129.</w:t>
      </w:r>
      <w:r w:rsidRPr="00FB0005">
        <w:rPr>
          <w:rFonts w:ascii="Garamond" w:hAnsi="Garamond" w:cstheme="majorBidi"/>
        </w:rPr>
        <w:fldChar w:fldCharType="end"/>
      </w:r>
    </w:p>
  </w:footnote>
  <w:footnote w:id="37">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{"citationID":"5NuRC5Ty","properties":{"formattedCitation":"W. Creswell, {\\i{}Qualitative Inquiry and Research Design Choosing Among Five Approaches}, 68\\uc0\\u8211{}69.","plainCitation":"W. Creswell, Qualitative Inquiry and Research Design Choosing Among Five Approaches, 68–69.","noteIndex":27},"citationItems":[{"id":1917,"uris":["http://zotero.org/users/local/n49v5LOV/items/YY3GTUSB"],"itemData":{"id":1917,"type":"book","event-place":"New Delhi","publisher":"Sage Publications","publisher-place":"New Delhi","title":"Qualitative Inquiry and Research Design Choosing Among Five Approaches","author":[{"family":"W. Creswell","given":"John"}],"issued":{"date-parts":[["2007"]]}},"locator":"68-69"}],"schema":"https://github.com/citation-style-language/schema/raw/master/csl-citation.json"}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W. Creswell, </w:t>
      </w:r>
      <w:r w:rsidRPr="00FB0005">
        <w:rPr>
          <w:rFonts w:ascii="Garamond" w:hAnsi="Garamond" w:cstheme="majorBidi"/>
          <w:i/>
          <w:iCs/>
          <w:szCs w:val="24"/>
        </w:rPr>
        <w:t>Qualitative Inquiry and Research Design Choosing Among Five Approaches</w:t>
      </w:r>
      <w:r w:rsidRPr="00FB0005">
        <w:rPr>
          <w:rFonts w:ascii="Garamond" w:hAnsi="Garamond" w:cstheme="majorBidi"/>
          <w:szCs w:val="24"/>
        </w:rPr>
        <w:t>, 68–69.</w:t>
      </w:r>
      <w:r w:rsidRPr="00FB0005">
        <w:rPr>
          <w:rFonts w:ascii="Garamond" w:hAnsi="Garamond" w:cstheme="majorBidi"/>
        </w:rPr>
        <w:fldChar w:fldCharType="end"/>
      </w:r>
    </w:p>
  </w:footnote>
  <w:footnote w:id="38">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{"citationID":"9yZqDA63","properties":{"formattedCitation":"A. R Parhi, {\\i{}Introduction to Sociology} (India: Rajiv Gandhi Universitu, 2016), 11.","plainCitation":"A. R Parhi, Introduction to Sociology (India: Rajiv Gandhi Universitu, 2016), 11.","noteIndex":28},"citationItems":[{"id":1960,"uris":["http://zotero.org/users/local/n49v5LOV/items/K3538QE2"],"itemData":{"id":1960,"type":"book","event-place":"India","publisher":"Rajiv Gandhi Universitu","publisher-place":"India","title":"Introduction to Sociology","author":[{"family":"Parhi","given":"A. R"}],"issued":{"date-parts":[["2016"]]}},"locator":"11"}],"schema":"https://github.com/citation-style-language/schema/raw/master/csl-citation.json"}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A. R Parhi, </w:t>
      </w:r>
      <w:r w:rsidRPr="00FB0005">
        <w:rPr>
          <w:rFonts w:ascii="Garamond" w:hAnsi="Garamond" w:cstheme="majorBidi"/>
          <w:i/>
          <w:iCs/>
          <w:szCs w:val="24"/>
        </w:rPr>
        <w:t>Introduction to Sociology</w:t>
      </w:r>
      <w:r w:rsidRPr="00FB0005">
        <w:rPr>
          <w:rFonts w:ascii="Garamond" w:hAnsi="Garamond" w:cstheme="majorBidi"/>
          <w:szCs w:val="24"/>
        </w:rPr>
        <w:t xml:space="preserve"> (India: Rajiv Gandhi Universitu, 2016), 11.</w:t>
      </w:r>
      <w:r w:rsidRPr="00FB0005">
        <w:rPr>
          <w:rFonts w:ascii="Garamond" w:hAnsi="Garamond" w:cstheme="majorBidi"/>
        </w:rPr>
        <w:fldChar w:fldCharType="end"/>
      </w:r>
    </w:p>
  </w:footnote>
  <w:footnote w:id="39">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{"citationID":"GCR0ZlUS","properties":{"formattedCitation":"W.S.F. Pickering, {\\i{}Durkheim\\uc0\\u8217{}s Sociology of Religion: Themes and Theories} (United Kingdom: British Labrary Cataloguing in Publication Data, 1984).","plainCitation":"W.S.F. Pickering, Durkheim’s Sociology of Religion: Themes and Theories (United Kingdom: British Labrary Cataloguing in Publication Data, 1984).","dontUpdate":true,"noteIndex":29},"citationItems":[{"id":1961,"uris":["http://zotero.org/users/local/n49v5LOV/items/FWB4ADGB"],"itemData":{"id":1961,"type":"book","event-place":"United Kingdom","publisher":"British Labrary Cataloguing in Publication Data","publisher-place":"United Kingdom","title":"Durkheim's Sociology of Religion: Themes and Theories","author":[{"family":"Pickering","given":"W.S.F."}],"issued":{"date-parts":[["1984"]]}}}],"schema":"https://github.com/citation-style-language/schema/raw/master/csl-citation.json"}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W.S.F. Pickering, </w:t>
      </w:r>
      <w:r w:rsidRPr="00FB0005">
        <w:rPr>
          <w:rFonts w:ascii="Garamond" w:hAnsi="Garamond" w:cstheme="majorBidi"/>
          <w:i/>
          <w:iCs/>
          <w:szCs w:val="24"/>
        </w:rPr>
        <w:t>Durkheim’s Sociology of Religion: Themes and Theories</w:t>
      </w:r>
      <w:r w:rsidRPr="00FB0005">
        <w:rPr>
          <w:rFonts w:ascii="Garamond" w:hAnsi="Garamond" w:cstheme="majorBidi"/>
          <w:szCs w:val="24"/>
        </w:rPr>
        <w:t xml:space="preserve"> (United Kingdom: British Labrary Cataloguing in Publication Data, 1984), xvi.</w:t>
      </w:r>
      <w:r w:rsidRPr="00FB0005">
        <w:rPr>
          <w:rFonts w:ascii="Garamond" w:hAnsi="Garamond" w:cstheme="majorBidi"/>
        </w:rPr>
        <w:fldChar w:fldCharType="end"/>
      </w:r>
    </w:p>
  </w:footnote>
  <w:footnote w:id="40">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{"citationID":"VUv7OmC1","properties":{"formattedCitation":"Werner Conze and Charles A. Wright, \\uc0\\u8220{}Social History,\\uc0\\u8221{} {\\i{}Journal of Social History} 1, no. 1 (1967): 8.","plainCitation":"Werner Conze and Charles A. Wright, “Social History,” Journal of Social History 1, no. 1 (1967): 8.","noteIndex":30},"citationItems":[{"id":1966,"uris":["http://zotero.org/users/local/n49v5LOV/items/2QIM6Z7U"],"itemData":{"id":1966,"type":"article-journal","container-title":"Journal of Social History","ISSN":"0022-4529","issue":"1","note":"publisher: Oxford University Press","page":"7-16","source":"JSTOR","title":"Social History","volume":"1","author":[{"family":"Conze","given":"Werner"},{"family":"Wright","given":"Charles A."}],"issued":{"date-parts":[["1967"]]}},"locator":"8"}],"schema":"https://github.com/citation-style-language/schema/raw/master/csl-citation.json"}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Werner Conze and Charles A. Wright, “Social History,” </w:t>
      </w:r>
      <w:r w:rsidRPr="00FB0005">
        <w:rPr>
          <w:rFonts w:ascii="Garamond" w:hAnsi="Garamond" w:cstheme="majorBidi"/>
          <w:i/>
          <w:iCs/>
          <w:szCs w:val="24"/>
        </w:rPr>
        <w:t>Journal of Social History</w:t>
      </w:r>
      <w:r w:rsidRPr="00FB0005">
        <w:rPr>
          <w:rFonts w:ascii="Garamond" w:hAnsi="Garamond" w:cstheme="majorBidi"/>
          <w:szCs w:val="24"/>
        </w:rPr>
        <w:t xml:space="preserve"> 1, no. 1 (1967): 8.</w:t>
      </w:r>
      <w:r w:rsidRPr="00FB0005">
        <w:rPr>
          <w:rFonts w:ascii="Garamond" w:hAnsi="Garamond" w:cstheme="majorBidi"/>
        </w:rPr>
        <w:fldChar w:fldCharType="end"/>
      </w:r>
    </w:p>
  </w:footnote>
  <w:footnote w:id="41">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{"citationID":"X5D1vPdH","properties":{"formattedCitation":"Zuhri Qudsy and Sukuma Dewi, {\\i{}Living Hadis: Praktik, Resepsi, Teks, Dan Transmisi}, 23.","plainCitation":"Zuhri Qudsy and Sukuma Dewi, Living Hadis: Praktik, Resepsi, Teks, Dan Transmisi, 23.","noteIndex":31},"citationItems":[{"id":1845,"uris":["http://zotero.org/users/local/n49v5LOV/items/LLC44JLF"],"itemData":{"id":1845,"type":"book","event-place":"Jogjakarta","publisher":"Q-Media","publisher-place":"Jogjakarta","title":"Living Hadis: Praktik, Resepsi, Teks, dan Transmisi","author":[{"family":"Zuhri Qudsy","given":"Saifuddin"},{"family":"Sukuma Dewi","given":"Subkhani"}],"issued":{"date-parts":[["2018"]]}},"locator":"23"}],"schema":"https://github.com/citation-style-language/schema/raw/master/csl-citation.json"}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Zuhri Qudsy and Sukuma Dewi, </w:t>
      </w:r>
      <w:r w:rsidRPr="00FB0005">
        <w:rPr>
          <w:rFonts w:ascii="Garamond" w:hAnsi="Garamond" w:cstheme="majorBidi"/>
          <w:i/>
          <w:iCs/>
          <w:szCs w:val="24"/>
        </w:rPr>
        <w:t>Living Hadis: Praktik, Resepsi, Teks, Dan Transmisi</w:t>
      </w:r>
      <w:r w:rsidRPr="00FB0005">
        <w:rPr>
          <w:rFonts w:ascii="Garamond" w:hAnsi="Garamond" w:cstheme="majorBidi"/>
          <w:szCs w:val="24"/>
        </w:rPr>
        <w:t>, 23.</w:t>
      </w:r>
      <w:r w:rsidRPr="00FB0005">
        <w:rPr>
          <w:rFonts w:ascii="Garamond" w:hAnsi="Garamond" w:cstheme="majorBidi"/>
        </w:rPr>
        <w:fldChar w:fldCharType="end"/>
      </w:r>
    </w:p>
  </w:footnote>
  <w:footnote w:id="42">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{"citationID":"6fM402cb","properties":{"formattedCitation":"Zuhri Qudsy and Sukuma Dewi, 21\\uc0\\u8211{}22.","plainCitation":"Zuhri Qudsy and Sukuma Dewi, 21–22.","noteIndex":32},"citationItems":[{"id":1845,"uris":["http://zotero.org/users/local/n49v5LOV/items/LLC44JLF"],"itemData":{"id":1845,"type":"book","event-place":"Jogjakarta","publisher":"Q-Media","publisher-place":"Jogjakarta","title":"Living Hadis: Praktik, Resepsi, Teks, dan Transmisi","author":[{"family":"Zuhri Qudsy","given":"Saifuddin"},{"family":"Sukuma Dewi","given":"Subkhani"}],"issued":{"date-parts":[["2018"]]}},"locator":"21-22"}],"schema":"https://github.com/citation-style-language/schema/raw/master/csl-citation.json"}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Zuhri Qudsy and Sukuma Dewi, 21–22.</w:t>
      </w:r>
      <w:r w:rsidRPr="00FB0005">
        <w:rPr>
          <w:rFonts w:ascii="Garamond" w:hAnsi="Garamond" w:cstheme="majorBidi"/>
        </w:rPr>
        <w:fldChar w:fldCharType="end"/>
      </w:r>
    </w:p>
  </w:footnote>
  <w:footnote w:id="43">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{"citationID":"4jNAouM2","properties":{"formattedCitation":"Maulida Himatun Najih, \\uc0\\u8220{}Pemahaman Dan Praktik Hadis Skepemimpinan Perempuan (Studi Living Hadis Di Yayasan Ali Maksum Pondok Pesantren Krapyak Yogyakarta)\\uc0\\u8221{} (skripsi, UIN Sunan Kalijaga Yogyakarta, 2013), https://doi.org/10/preview.jpg.","plainCitation":"Maulida Himatun Najih, “Pemahaman Dan Praktik Hadis Skepemimpinan Perempuan (Studi Living Hadis Di Yayasan Ali Maksum Pondok Pesantren Krapyak Yogyakarta)” (skripsi, UIN Sunan Kalijaga Yogyakarta, 2013), https://doi.org/10/preview.jpg.","noteIndex":33},"citationItems":[{"id":1975,"uris":["http://zotero.org/users/local/n49v5LOV/items/2JD4UCC4"],"itemData":{"id":1975,"type":"thesis","abstract":"Pesantren layaknya sebuah kerajaan, yang di dalamnya terdapat seorang\npemimpin, kepemimpinan tersebut merupakan wasiat yang diberikan seorang kiai\natau pendiri sebelum wafat. Kepemimpinan di pesantren biasanya hanya berada di\ntangan laki-lakin(Kiai), karena perempuan (Nyai) hanya dianggap sebagai\npelengkap keberadaan Kiai sebagai pemimpin spiritual di sebuah pesantren.\nTetapi hal tersebut tidak berlaku di Pondok Pesantren Ali Maksum. Di pesantren\nini, perempuan (Nyai) bisa menjadi pemimpin dan berperan dalam mendidik\nsantri, baik putra dan putri. Perempuan diberi hak untuk menjadi pemimpin\nseperti menjadi tenaga pengajar bagi santri putra dan putri, serta tampil di acaraacara\numum baik di lingkungan Krapyak maupun yang lain. Di Pesantren ini baik\nlaki-laki ataupun perempuan memiliki hak yang sama untuk menjadi pemimpin.\nKeberadaan teks keagamaan, dalam hal ini hadis kepemimpinan perempuan dan\nhadis tentang setiap seseorang baik laki-laki ataupun perempuan berhak menjadi\npemimpin, adalah sebagai acuan dalam menjalankan kepemimpinan di Pesanten.\nDari sinilah penulis tertarik untuk melakukan sebuah penelitian living hadis.\nDalam penelitian living hadis tentang kepemimpinan perempuan di\nPondok Pesantren Krapyak Yayasan Ali Maksum, peneliti akan meneliti\nbagaimana pemahaman hadis oleh para figur (Nyai) sebagai pemimpin perempuan\nserta bagaimana praktik kepemimpinannya dalam memimpin Pondok Pesantren\nKrapyak Yayasan Ali Maksum. Penelitian ini berjenis penelitian lapangan (field\nresarch) dengan menggunakan metode wawancara (interview) dan observasi, serta\nmenggunakan metode analisis data.\nDari hasil penelitian di atas, hadis penolakan kepemimpinan perempuan\ndipahami secara historis oleh para Nyai di Ali Maksum, dengan melihat asbab al\nwurudnya, hadis tersebut dipahami bahwa setiap laki-laki ataupun perempuan\nberhak menjadi pemimpin, asalkan mampu. Hadis tersebut juga dimaknai sebagai\npenyemangat bagi kaum perempuan untuk membuktikan bahwa perempuan\nmampu menjadi pemimpin, tidak kalah dengan laki-laki, semangat tersebut\ndipengaruhi dengan adanya hadis yang mengatakan bahwa setiap seseorang, baik\nlaki-laki maupun perempuan adalah pemimpin. Praktik kepemimpinan Nyai di\nPondok Pesantren Ali Maksum berada di wilayah non formal (pesantren), yakni\nmengelola pesantren, mengatur sarana prasarana pesantren serta mengajar dan\nmendidik santri dengan tanpa adanya kurikulum yang tertulis.\nAkan tetapi kemampuan saja ternyata tidak cukup untuk menjadi\npemimpin di pesantren, jika tidak punya hubungan kekeluargaan secara nasab\nataupun akibat tali pernikahan, maka seseorang tidak akan bisa menjadi pemimpin\ndi sebuah pesantren, meski semisal ada orang yang memiliki kemampuan yang\nlebih dari anggota keluarga pesantren. Disini ada ketidaksesuaian antara\npemahaman hadis dari para Nyai dan realita yang terjadi di pesantren.\nKeterbukaan atau kebolehan memimpin di pesantren hanya sebatas pada jenis\nkelamin laki-laki atau perempuan, bukan melihat kemapuan seorang baik dari\nanggota keluarga maupun dari luar anggota keluarga","genre":"skripsi","language":"en","note":"DOI: 10/preview.jpg","publisher":"UIN Sunan Kalijaga Yogyakarta","source":"digilib.uin-suka.ac.id","title":"Pemahaman Dan Praktik Hadis Skepemimpinan Perempuan (Studi Living Hadis Di Yayasan Ali Maksum Pondok Pesantren Krapyak Yogyakarta)","URL":"https://digilib.uin-suka.ac.id/id/eprint/7668/","author":[{"family":"Himatun Najih","given":"Maulida"}],"accessed":{"date-parts":[["2025",1,25]]},"issued":{"date-parts":[["2013",1,31]]}}}],"schema":"https://github.com/citation-style-language/schema/raw/master/csl-citation.json"}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Maulida Himatun Najih, “Pemahaman Dan Praktik Hadis Skepemimpinan Perempuan (Studi Living Hadis Di Yayasan Ali Maksum Pondok Pesantren Krapyak Yogyakarta)” (skripsi, UIN Sunan Kalijaga Yogyakarta, 2013), https://doi.org/10/preview.jpg.</w:t>
      </w:r>
      <w:r w:rsidRPr="00FB0005">
        <w:rPr>
          <w:rFonts w:ascii="Garamond" w:hAnsi="Garamond" w:cstheme="majorBidi"/>
        </w:rPr>
        <w:fldChar w:fldCharType="end"/>
      </w:r>
    </w:p>
  </w:footnote>
  <w:footnote w:id="44">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{"citationID":"mNCc1uzP","properties":{"formattedCitation":"Halimatus Sa\\uc0\\u8217{}diyah, \\uc0\\u8220{}Majelis Bukhoren Di Kasultanan Ngayogyakarta Hadiningrat (Studi Living Hadis)\\uc0\\u8221{} (skripsi, UIN Sunan Kalijaga Yogyakarta, 2013), https://digilib.uin-suka.ac.id/id/eprint/12088/.","plainCitation":"Halimatus Sa’diyah, “Majelis Bukhoren Di Kasultanan Ngayogyakarta Hadiningrat (Studi Living Hadis)” (skripsi, UIN Sunan Kalijaga Yogyakarta, 2013), https://digilib.uin-suka.ac.id/id/eprint/12088/.","noteIndex":34},"citationItems":[{"id":1977,"uris":["http://zotero.org/users/local/n49v5LOV/items/EWDDMQM7"],"itemData":{"id":1977,"type":"thesis","abstract":"Skripsi ini berjudul “Majelis Bukhoren di Kasultanan Ngayogyakarta\nHadiningrat (Studi Living Hadis)”. Topik ini penulis angkat karena ketertarikan\npenulis terhadap praktek Living Hadis, yaitu Majelis Bukhoren di Kasultanan\nNgayogyakarta Hadiningrat pada masa Sri Sultan Hamengkubuwono X. Majelis\nini memiliki keunikan dibandingkan dengan lainnya yaitu seperti pengajian kitab\nBukhori di pondok-pondok pesantren dan mujahadah Bukhoren di Kabupaten\nMagelang. Karena belum ada yang mengkaji kegiatan tersebut, maka penulis\ndalam penelitiannya fokus kepada alasan berdirinya, bagaimana pelaksanaan\nMajelis Bukhoren, dan model pemahaman Bukhori yang ada di majelis tersebut.\nPenulis menggunakan metode deskriptif eksplanatif, pendekatan\nfenomenologi, dan menggunakan teori Living Hadis dan lima komponen religi\ndari Koentjaraningrat untuk menggali data mengenai fenomena Majelis Bukhoren.\nMelalui dua teori ini penulis mengungkap dan menelusuri alasan para kyai dan\nulama mengikuti Bukhoren, ajaran doktrin yang terkandung dalam Majelis\nBukhoren, bentuk kegiatannya, peralatan dan peserta yang ikut di Majelis\nBukhoren, dan bagaimana apresiasi umat Islam dengan hadis, khususnya hadis\nBukhori di Majelis Bukhoren.\nHasil dari penelitian ini, antara lain, pertama, praktek Majelis Bukhoren\npada masa Sultan Hamengku Buwono X adalah diisi dengan para ulama membaca\nkitab hadis Shahih Bukhari, menguraikan hadis yang dianggap yang relevan untuk\ndibahas yang dibaca malam itu, beserta penjelasan hadisnya, lalu pihak kraton\nmemberikan amanat kepada peserta Majelis Bukhoren. Kedua, Majelis Bukhoren\ndidirikan karena terbatasnya waktu dan ruang yang dimiliki oleh Sultan\nHamengku Buwono I untuk mengajarkan Islam ke seluruh rakyatnya, maka para\npenghulu (kyai dan ulama) diberi amanat menjadi penyambung lidah antara sultan\ndengan rakyat dalam mengajarkan Islam melalui Majelis Bukhoren. Ketiga, model\npemahaman hadis para kyai di Majelis Bukhoren adalah pemaknaan secara\nkontekstual dan tidak ada satupun dari mereka yang menjelaskan seluk beluk\nperawi hadis yang mereka presentasikan.","genre":"skripsi","language":"en","number-of-pages":"136","publisher":"UIN Sunan Kalijaga Yogyakarta","source":"digilib.uin-suka.ac.id","title":"Majelis Bukhoren Di Kasultanan Ngayogyakarta Hadiningrat (Studi Living Hadis)","URL":"https://digilib.uin-suka.ac.id/id/eprint/12088/","author":[{"family":"Sa’diyah","given":"Halimatus"}],"accessed":{"date-parts":[["2025",1,25]]},"issued":{"date-parts":[["2013",10,25]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Halimatus Sa’diyah, “Majelis Bukhoren Di Kasultanan Ngayogyakarta Hadiningrat (Studi Living Hadis)” (skripsi, UIN Sunan Kalijaga Yogyakarta, 2013), https://digilib.uin-suka.ac.id/id/eprint/12088/.</w:t>
      </w:r>
      <w:r w:rsidRPr="00FB0005">
        <w:rPr>
          <w:rFonts w:ascii="Garamond" w:hAnsi="Garamond" w:cstheme="majorBidi"/>
        </w:rPr>
        <w:fldChar w:fldCharType="end"/>
      </w:r>
    </w:p>
  </w:footnote>
  <w:footnote w:id="45">
    <w:p w:rsidR="004F3629" w:rsidRPr="00FB0005" w:rsidRDefault="004F3629" w:rsidP="00FB0005">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{"citationID":"zIqaFObt","properties":{"formattedCitation":"Rohmansyah, \\uc0\\u8220{}Filantropi Dalam Gerakan Muhammadiyah Di Daerah Istimewa Yogyakarta (Studi Living Hadis)\\uc0\\u8221{} (doctoral, UIN Sunan Kalijaga Yogyakarta, 2020), https://digilib.uin-suka.ac.id/id/eprint/39843/.","plainCitation":"Rohmansyah, “Filantropi Dalam Gerakan Muhammadiyah Di Daerah Istimewa Yogyakarta (Studi Living Hadis)” (doctoral, UIN Sunan Kalijaga Yogyakarta, 2020), https://digilib.uin-suka.ac.id/id/eprint/39843/.","noteIndex":36},"citationItems":[{"id":1981,"uris":["http://zotero.org/users/local/n49v5LOV/items/MS3BZVLS"],"itemData":{"id":1981,"type":"thesis","abstract":"Philanthropy (donation) carried out by Muhammadiyah in\nresponding to the social conditions of oppressed communities having\ntaken place since the colonial period is based on the Qur’an and Hadith\n(tradition) despite the fact that the traditions used as a basis are not\nmany; thus, a study of living hadith is needed. Because of this, this\nstudy aims to address this problem by describing the philanthropic\nmovement and various social phenomena that influence it based on the\ntraditions.\nThis research is a combination of field and literature research\nto simultaneously conduct observations and interviews and to search\nfor official documents and several books by Muhammadiyah figures.\nThe descriptive-analysis and sociological-historical approach is\nfocused on three institutions in the Special Region of Yogyakarta, i.e.,\neducation, health and orphanages. The theory used in this study is\ndivided into two theories, i.e., living hadith and social theories. The\ntheory of living hadith used is reception theory which consists of three\nreceptions, i.e., exegesis reception, aesthetic reception and functional\ntheory while the social theory used is social construction and\nsociology of knowledge of Peter L Berger and Thomas Luckmann.\nThere are four main findings of this research. First ,\nMuhammadiyah philanthropy starts from the bottom (bottom up),\ncontinuing and developing until now such as educational and health\ninstitutions as well as orphanages based on the traditions of the\nProphet. Second , the philanthropic traditions in the establishment of\nthese institutions are not many and are more inclined to their\nimplementation without regard to the quality aspects of the traditions\nbecause some of the traditions found are not </w:instrText>
      </w:r>
      <w:r w:rsidRPr="00FB0005">
        <w:rPr>
          <w:rFonts w:ascii="Times New Roman" w:hAnsi="Times New Roman" w:cs="Times New Roman"/>
        </w:rPr>
        <w:instrText>ṣ</w:instrText>
      </w:r>
      <w:r w:rsidRPr="00FB0005">
        <w:rPr>
          <w:rFonts w:ascii="Garamond" w:hAnsi="Garamond" w:cstheme="majorBidi"/>
        </w:rPr>
        <w:instrText xml:space="preserve">a </w:instrText>
      </w:r>
      <w:r w:rsidRPr="00FB0005">
        <w:rPr>
          <w:rFonts w:ascii="Times New Roman" w:hAnsi="Times New Roman" w:cs="Times New Roman"/>
        </w:rPr>
        <w:instrText>ḥ</w:instrText>
      </w:r>
      <w:r w:rsidRPr="00FB0005">
        <w:rPr>
          <w:rFonts w:ascii="Garamond" w:hAnsi="Garamond" w:cstheme="majorBidi"/>
        </w:rPr>
        <w:instrText>ī</w:instrText>
      </w:r>
      <w:r w:rsidRPr="00FB0005">
        <w:rPr>
          <w:rFonts w:ascii="Times New Roman" w:hAnsi="Times New Roman" w:cs="Times New Roman"/>
        </w:rPr>
        <w:instrText>ḥ</w:instrText>
      </w:r>
      <w:r w:rsidRPr="00FB0005">
        <w:rPr>
          <w:rFonts w:ascii="Garamond" w:hAnsi="Garamond" w:cstheme="majorBidi"/>
        </w:rPr>
        <w:instrText xml:space="preserve">. Third , the\nphilanthropic traditions according to three reception theories --\nexegesis, aesthetics and functional-- provide explicit explanation that\nthe traditions are accepted and understood both textually and\ncontextually, and then practiced in social life and institutionalized.\nFourth, the Muhammadiyah philanthropic movement based on the\nhadith of the Prophet was influenced by socio-historical factors that\noccurred in the past during the Dutch colonial period around the 19-\n20th century. These factors included the social, economic, political and\ncultural factors of Java that developed at that time which encouraged\nthis organization to make social changes and reforms (tajdīd) of Islam\nto eliminate all forms of oppression and invite Javanese people in\nparticular to return to pure teachings, that is, the teachings of the\nQur’an and Sunnah carried out gradually. This has led this\norganization to become a focal point for survival and progress even\nthough there are still shortcomings in the equitable balance in social\nwelfare and humanity.","genre":"doctoral","language":"id","number-of-pages":"434","publisher":"UIN Sunan Kalijaga Yogyakarta","source":"digilib.uin-suka.ac.id","title":"Filantropi Dalam Gerakan Muhammadiyah Di Daerah Istimewa Yogyakarta (Studi Living Hadis)","URL":"https://digilib.uin-suka.ac.id/id/eprint/39843/","author":[{"family":"","given":"Rohmansyah"}],"accessed":{"date-parts":[["2025",1,25]]},"issued":{"date-parts":[["2020",7,16]]}}}],"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Rohmansyah, “Filantropi Dalam Gerakan Muhammadiyah Di Daerah Istimewa Yogyakarta (Studi Living Hadis)” (doctoral, UIN Sunan Kalijaga Yogyakarta, 2020), https://digilib.uin-suka.ac.id/id/eprint/39843/.</w:t>
      </w:r>
      <w:r w:rsidRPr="00FB0005">
        <w:rPr>
          <w:rFonts w:ascii="Garamond" w:hAnsi="Garamond" w:cstheme="majorBidi"/>
        </w:rPr>
        <w:fldChar w:fldCharType="end"/>
      </w:r>
      <w:r w:rsidRPr="00FB0005">
        <w:rPr>
          <w:rFonts w:ascii="Garamond" w:hAnsi="Garamond" w:cstheme="majorBidi"/>
        </w:rPr>
        <w:t xml:space="preserve"> </w:t>
      </w:r>
    </w:p>
  </w:footnote>
  <w:footnote w:id="46">
    <w:p w:rsidR="004F3629" w:rsidRPr="00FB0005" w:rsidRDefault="004F3629" w:rsidP="00FB0005">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{"citationID":"NQPVjYpo","properties":{"formattedCitation":"Muhammad Shaleh Assingkily, \\uc0\\u8220{}Living Qur\\uc0\\u8217{}an Dan Hadis Di Mi Nurul Ummah Kotagede Yogyakarta (Studi Pendidikan Nilai Dalam Pembelajaran Al- Qur\\uc0\\u8217{}an Hadis Kelas 1-3)\\uc0\\u8221{} (masters, UIN Sunan Kalijaga Yogyakarta, 2020), https://digilib.uin-suka.ac.id/id/eprint/39183/.","plainCitation":"Muhammad Shaleh Assingkily, “Living Qur’an Dan Hadis Di Mi Nurul Ummah Kotagede Yogyakarta (Studi Pendidikan Nilai Dalam Pembelajaran Al- Qur’an Hadis Kelas 1-3)” (masters, UIN Sunan Kalijaga Yogyakarta, 2020), https://digilib.uin-suka.ac.id/id/eprint/39183/.","noteIndex":37},"citationItems":[{"id":1984,"uris":["http://zotero.org/users/local/n49v5LOV/items/MQX72BMF"],"itemData":{"id":1984,"type":"thesis","abstract":"Living Qur’an and Hadith are familiar with the\narea of social research, both within the scope of particular\ncommunities and the wider community. This study, in\nessence, is important to be developed in educational\ninstitutions, as an effort to restore the “spirit” of Islamic\neducation by making the Qur’an and Hadith as “living\ntexts” in schools/madrasas. This study aims to analyze the\nlearning of Al-Qur’an hadiths in grades 1-3 and analyze\nthe efforts of living Qur’an and hadith in MI Nurul\nUmmah Kotagede Yogyakarta through value education in\nlearning al-Qur’an hadith classes 1-3 MI.\nThis study used a qualitative approach with\ncombining a descriptive-analytic approach with settings of\nactivities (field research) and library research. Research\nsubjects consisted of data and data sources, data obtained\nthrough observation, interviews and document studies.\nWhereas, the source of data is obtained through (1) the\nsubject of primary data, namely: teacher of al-Qur’an\nhadith classes 1-3, class teacher, tahfiz and tahsin teacher,\nand students of MI Nurul Ummah. and (2) secondary data\nsubjects, namely: headmaster, administrative staff and\nparents/guardians of students. Next, the data are analyzed\nthrough data reduction, data presentation, and concluding.\nThe results of the data analysis were then tested for\nvalidity through triangulation techniques concerning to the\nLincoln and Gulba standards, namely: credibility, dispute,\ndependency and certainly (confirmation).\nThe results showed that (1) Learning al-Qur’an\nhadith at MI Nurul Ummah was carried out in the class\nwith three methods, namely verbally and forming groups,\nlistening to students’ reading and memorization, and by\nreinforcement. Whereas outside the classroom, learning is\npracticed through madrasa programmed activities of 14\nactivities which are summarized into 3 aspects, namely:\n(a) madrasa routine, (b) ritual worship and (c) character\nbuilding; (2) The efforts of living Qur’an and hadith in MI\nNurul Ummah are demonstrated through the education of\nvalues in learning the Qur’anic traditions.\nSo students understand, appreciate and do\nsomething based on moral awareness. Its implementation\nbegins with the method of habituation programmed by the\nmadrasa. Then, marked by the behavior displayed by\nstudents in the form of a clean attitude, active learning of\nthe Qur’an, actively praying in congregation and loving\npeers. So, fulfilled 4 aspects of something called an effort\nto live the Qur’an and hadith, namely: oral, aural, writing\nand attitude.","genre":"masters","language":"id","number-of-pages":"404","publisher":"UIN Sunan Kalijaga Yogyakarta","source":"digilib.uin-suka.ac.id","title":"Living Qur’an Dan Hadis Di Mi Nurul Ummah Kotagede Yogyakarta (Studi Pendidikan Nilai Dalam Pembelajaran Al- Qur’an Hadis Kelas 1-3)","URL":"https://digilib.uin-suka.ac.id/id/eprint/39183/","author":[{"family":"Shaleh Assingkily","given":"Muhammad"}],"accessed":{"date-parts":[["2025",1,25]]},"issued":{"date-parts":[["2020",2,14]]}}}],"schema":"https://github.com/citation-style-language/schema/raw/master/csl-citation.json"}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Muhammad Shaleh Assingkily, “Living Qur’an Dan Hadis Di Mi Nurul Ummah Kotagede Yogyakarta (Studi Pendidikan Nilai Dalam Pembelajaran Al- Qur’an Hadis Kelas 1-3)” (masters, UIN Sunan Kalijaga Yogyakarta, 2020), https://digilib.uin-suka.ac.id/id/eprint/39183/.</w:t>
      </w:r>
      <w:r w:rsidRPr="00FB0005">
        <w:rPr>
          <w:rFonts w:ascii="Garamond" w:hAnsi="Garamond" w:cstheme="majorBidi"/>
        </w:rPr>
        <w:fldChar w:fldCharType="end"/>
      </w:r>
    </w:p>
  </w:footnote>
  <w:footnote w:id="47">
    <w:p w:rsidR="004F3629" w:rsidRPr="00FB0005" w:rsidRDefault="004F3629" w:rsidP="00FB0005">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{"citationID":"cP1Wz4qU","properties":{"formattedCitation":"Ismail, \\uc0\\u8220{}Konsep Pakaian Menurut Salafi Banyumas (Studi Living Hadis)\\uc0\\u8221{} (masters, UIN Sunan Kalijaga Yogyakarta, 2015), https://digilib.uin-suka.ac.id/id/eprint/19905/.","plainCitation":"Ismail, “Konsep Pakaian Menurut Salafi Banyumas (Studi Living Hadis)” (masters, UIN Sunan Kalijaga Yogyakarta, 2015), https://digilib.uin-suka.ac.id/id/eprint/19905/.","noteIndex":38},"citationItems":[{"id":1986,"uris":["http://zotero.org/users/local/n49v5LOV/items/7LUAW7WI"],"itemData":{"id":1986,"type":"thesis","abstract":"Dalam kajian ilmu-ilmu hadis, pemahaman dan praktek sebuah hadis telah banyak dibahas sekaligus dipraktekkan oleh beberapa kelompok-kelompok Islam. Metode dan sumber pengetahuan menjadi hal yang penting dalam pemahaman hadis, sedangkan pengamalan menjadi sebuah manifestasi dari pemahaman tersebut. Dalam penelitian ini penulis memfokuskan kajian terhadap konsep pakaian menurut Salafi Banyumas. Alasan penulis memilih tema ini adalah adanya perbedaan pemahaman terhadap hadis-hadis berpakaian dikalangan umat Islam, salah satunya adalah Salafi yang berada di Banyumas, sedangkan pemilihan lokasi penelitian ini didasari dari pesatnya perkembangan Salafi di Banyumas, terutama Salafi al-Faruq yang berada di Banyumas sebelah Utara. Penelitian ini mengkaji konsep berpakaian Salafi Banyumas serta sumber dan metode mereka dalam memahami hadis, khususnya hadis berpakaian. Selain itu penelitian ini juga mengkaji model tindakan berpakaian Salafi Banyumas.\nPenelitian ini merupakan penelitian lapangan dengan menggunaan analisis data kualitatif. Adapun metode pengumpulan data yang penulis lakukan yaitu melalui observasi dan wawancara. Sumber data primernya adalah Takmir Masjid al-Faruq, Pengasuh Ma’had al-Faruq dan jamaah pengajian rutinnya. Sumber data sekundernya antara lain buku, majalah, website, dan sebagaianya yang masih terkait. Penulis mengkaji secara mendalam tentang konsep, sumber dan metode pemahaman melalui teori epistemologi umum. Adapun untuk melihat tindakan berpakaian Salafi Banyumas dibahas dengan menggunakan kacamata teori tindakan Max Weber.\nDari penelitian ini ditemukan bahwa konsep berpakaian Salafi Banyumas adalah pertama, hukum pakaian mubah selagi tidak ada yang melarangnya. Kedua, mempraktikan apa yang tertulis dalam teks suci dan keseharian Nabi Muhammad. Ketiga, pakaian laki-laki bukan sebuah syar’i sedangkan pakaian wanita adalah syar’i. Sumber pemahaman hadis berpakaian mereka adalah al-Qur’an, hadis, pendapat salaf, kebahasaan dan akal sebagai sumber analogi masalah. Salafi Banyumas menggunakan metode pendekatan normatif-tekstualis yang tidak komprehensif, pembacaannya yang kirang luas menjadikannya pemahaman yang tekstualis. Salafi Banyumas menggunakan cara berfikir deduktif dan cenderung tekstualis, pemahaman ini dibenarkan dengan validitas kebenaran koherensi yaitu adanya kesesuaian antara teks dan praktek dan otoritarianisme dengan dorongan dari pihak-pihak tertentu. Sedangkan dalam tindakan berpakaian, jamaah Salafi al-Faruq Banyumas menggunakan beberapa model tindakan yaitu tindakan tradisional, tindakan rasional nilai, dan tindakan tradisional instrumental yang ketiga-tiganya mempunyai fase yang saling berkaitan.","genre":"masters","language":"id","number-of-pages":"204","publisher":"UIN Sunan Kalijaga Yogyakarta","source":"digilib.uin-suka.ac.id","title":"Konsep Pakaian Menurut Salafi Banyumas (Studi Living Hadis)","URL":"https://digilib.uin-suka.ac.id/id/eprint/19905/","author":[{"family":"","given":"Ismail"}],"accessed":{"date-parts":[["2025",1,25]]},"issued":{"date-parts":[["2015",10,13]]}}}],"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Ismail, “Konsep Pakaian Menurut Salafi Banyumas (Studi Living Hadis)” (masters, UIN Sunan Kalijaga Yogyakarta, 2015), https://digilib.uin-suka.ac.id/id/eprint/19905/.</w:t>
      </w:r>
      <w:r w:rsidRPr="00FB0005">
        <w:rPr>
          <w:rFonts w:ascii="Garamond" w:hAnsi="Garamond" w:cstheme="majorBidi"/>
        </w:rPr>
        <w:fldChar w:fldCharType="end"/>
      </w:r>
    </w:p>
  </w:footnote>
  <w:footnote w:id="48">
    <w:p w:rsidR="004F3629" w:rsidRPr="00366D0D" w:rsidRDefault="004F3629" w:rsidP="00366D0D">
      <w:pPr>
        <w:pStyle w:val="FootnoteText"/>
        <w:jc w:val="both"/>
        <w:rPr>
          <w:rFonts w:ascii="Garamond" w:hAnsi="Garamond"/>
        </w:rPr>
      </w:pPr>
      <w:r w:rsidRPr="00366D0D">
        <w:rPr>
          <w:rStyle w:val="FootnoteReference"/>
          <w:rFonts w:ascii="Garamond" w:hAnsi="Garamond"/>
        </w:rPr>
        <w:footnoteRef/>
      </w:r>
      <w:r>
        <w:rPr>
          <w:rFonts w:ascii="Garamond" w:hAnsi="Garamond"/>
        </w:rPr>
        <w:t xml:space="preserve"> </w:t>
      </w:r>
      <w:r w:rsidRPr="00366D0D">
        <w:rPr>
          <w:rFonts w:ascii="Garamond" w:hAnsi="Garamond"/>
        </w:rPr>
        <w:t xml:space="preserve">UIN </w:t>
      </w:r>
      <w:proofErr w:type="spellStart"/>
      <w:r w:rsidRPr="00366D0D">
        <w:rPr>
          <w:rFonts w:ascii="Garamond" w:hAnsi="Garamond"/>
        </w:rPr>
        <w:t>Sunan</w:t>
      </w:r>
      <w:proofErr w:type="spellEnd"/>
      <w:r w:rsidRPr="00366D0D">
        <w:rPr>
          <w:rFonts w:ascii="Garamond" w:hAnsi="Garamond"/>
        </w:rPr>
        <w:t xml:space="preserve"> </w:t>
      </w:r>
      <w:proofErr w:type="spellStart"/>
      <w:r w:rsidRPr="00366D0D">
        <w:rPr>
          <w:rFonts w:ascii="Garamond" w:hAnsi="Garamond"/>
        </w:rPr>
        <w:t>Kalijaga</w:t>
      </w:r>
      <w:proofErr w:type="spellEnd"/>
      <w:r w:rsidRPr="00366D0D">
        <w:rPr>
          <w:rFonts w:ascii="Garamond" w:hAnsi="Garamond"/>
        </w:rPr>
        <w:t xml:space="preserve">, search results for “Living </w:t>
      </w:r>
      <w:proofErr w:type="spellStart"/>
      <w:r w:rsidRPr="00366D0D">
        <w:rPr>
          <w:rFonts w:ascii="Garamond" w:hAnsi="Garamond"/>
        </w:rPr>
        <w:t>Hadis</w:t>
      </w:r>
      <w:proofErr w:type="spellEnd"/>
      <w:r w:rsidRPr="00366D0D">
        <w:rPr>
          <w:rFonts w:ascii="Garamond" w:hAnsi="Garamond"/>
        </w:rPr>
        <w:t xml:space="preserve">,” </w:t>
      </w:r>
      <w:proofErr w:type="spellStart"/>
      <w:r w:rsidRPr="00366D0D">
        <w:rPr>
          <w:rFonts w:ascii="Garamond" w:hAnsi="Garamond"/>
        </w:rPr>
        <w:t>Digilib</w:t>
      </w:r>
      <w:proofErr w:type="spellEnd"/>
      <w:r w:rsidRPr="00366D0D">
        <w:rPr>
          <w:rFonts w:ascii="Garamond" w:hAnsi="Garamond"/>
        </w:rPr>
        <w:t xml:space="preserve"> UIN </w:t>
      </w:r>
      <w:proofErr w:type="spellStart"/>
      <w:r w:rsidRPr="00366D0D">
        <w:rPr>
          <w:rFonts w:ascii="Garamond" w:hAnsi="Garamond"/>
        </w:rPr>
        <w:t>Suka</w:t>
      </w:r>
      <w:proofErr w:type="spellEnd"/>
      <w:r w:rsidRPr="00366D0D">
        <w:rPr>
          <w:rFonts w:ascii="Garamond" w:hAnsi="Garamond"/>
        </w:rPr>
        <w:t xml:space="preserve">, accessed August 17, 2025, </w:t>
      </w:r>
      <w:hyperlink r:id="rId1" w:history="1">
        <w:r w:rsidRPr="00366D0D">
          <w:rPr>
            <w:rStyle w:val="Hyperlink"/>
            <w:rFonts w:ascii="Garamond" w:hAnsi="Garamond"/>
          </w:rPr>
          <w:t>https://digilib.uin-suka.ac.id/cgi/search/archive/simple</w:t>
        </w:r>
      </w:hyperlink>
      <w:r w:rsidRPr="00366D0D">
        <w:rPr>
          <w:rFonts w:ascii="Garamond" w:hAnsi="Garamond"/>
        </w:rPr>
        <w:t xml:space="preserve"> </w:t>
      </w:r>
    </w:p>
  </w:footnote>
  <w:footnote w:id="49">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{"citationID":"JAIk3m7b","properties":{"formattedCitation":"Nikmatullah, \\uc0\\u8220{}Living hadith pernikahan: studi antropologi hadis dalam tradisi islam sasak lombok\\uc0\\u8221{} (doctoralThesis, UIN Syarif Hidayatullah Jakarta, 2019), https://repository.uinjkt.ac.id/dspace/handle/123456789/48804.","plainCitation":"Nikmatullah, “Living hadith pernikahan: studi antropologi hadis dalam tradisi islam sasak lombok” (doctoralThesis, UIN Syarif Hidayatullah Jakarta, 2019), https://repository.uinjkt.ac.id/dspace/handle/123456789/48804.","dontUpdate":true,"noteIndex":39},"citationItems":[{"id":2000,"uris":["http://zotero.org/users/local/n49v5LOV/items/PKAG3777"],"itemData":{"id":2000,"type":"thesis","abstract":"Fokus disertasi adalah mengkaji  pemahaman tuan  guru  tentang hadis-hadis \npernikahan dan dampaknya terhadap praktik perkawinan dan ketidakadilan gender \ndalam masyarakat Sasak Lombok. Disertasi ini bertujuan  untuk mengidentifikasi \nhadis-hadis yang dikutip oleh tuan guru dalam pengajian, khutbah nikah dan \nnasehat perkawinan; menganalisis pemahaman tuan guru, dan menjelaskan dampak \npemahaman terhadap praktik perkawinan dan ketidakadilan gender.  \nLiving hadith  diartikan  sebagai tradisi yang hidup di masyarakat dalam \nkehidupan sehari-hari yang dipengaruhi oleh pemahaman terhadap hadis. \nKetidakadilan gender dalam perkawinan  Sasak  tidak hanya dipengaruhi oleh \npemahaman bias gender, tetapi juga oleh popularitas hadis-hadis misoginis, budaya \npatriarkhi, pendidikan rendah,  dan keterbatasan ekonomi.  Meskipun demikian, \nperempuan Sasak melakukan agensi untuk melawan  diskriminasi gender  yang \ndidukung oleh tuan guru progresif.  Penelitian ini menggunakan pendekatan \nantropologi hadis.  Data lapangan diperoleh dari observasi,  dokumentasi dan \nwawancara  dengan  58  orang  informan  yang terdiri tuan guru, tokoh \nadat/budayawan, sejarawan, petugas KUA, staf desa dan  masyarakat umum. \nAnalisis data menggunakan teori hermeneutik dan Islamic feminism.  \nDisertasi ini menemukan hadis-hadis pernikahan yang dikutip oleh tuan guru \ntelah dipilih dan dipilah berdasarkan organisasi sosial keagamaan dan \nkecenderungan para tuan guru  secara personal. Dari 50  hadis, otentisitas hadis \ncukup beragam.  Keragaman tersebut menunjukkan bahwa otoritas hadis tidak \nselalu beriringan dengan otentisitasnya,  dan  adanya  keterbukaan dan fleksibilitas \ntuan guru dalam mengamalkan hadis. Mayoritas tuan guru adalah konservatif, yang \nmemahami hadis secara tekstual,  berpegang kepada  fiqh klasik dan  mendukung \nideologi patriarkhi. Sebagian  lainnya adalah tuan guru progresif, yang memahami \nhadis secara kontekstual,  mempromosikan Islam yang inklusif,  egaliter,  dan \nmembuka pintu ijtihad.  Dampak dari pemahaman  tuan guru terhadap praktik \nperkawinan adalah  melegitimasi tradisi, mengkritisi  tradisi, dan memberikan \nalternatif model pernikahan yang ideal.  Pemahaman tuan guru juga berdampak \nkepada ketidakadilan gender sekaligus memberikan ruang agensi perempuan untuk \nmelawan dominasi patriarkhi.      \nTemuan ini mendukung pandangan feminis muslim, seperti Riffat Hasan \n(1990), Fatimah Mernissi (1994), Aminah Wadud (1994), Asghar Ali Engineer \n(1999),  dan peneliti perkawinan  Sasak, seperti Jocelyn Grace (2004), Linda Rae \nBennet (2005), Maria Platt (2012),  Mohammad Abdun Nasir (2013), Levi Geir \nEidhamar (2018) tentang dominasi budaya patriarkhi dalam perkawinan Sasak dan \nadanya agensi perempuan untuk melawan superioritas laki-laki.  Sebaliknya, \npenelitian ini menolak pendapat Abdullah Saeed (2006) tentang kategorisasi \ntekstual konservatif dan kontekstual progresif dan  David Kloos (2016) tentang \nagensi perempuan yang terbatas di ruang tertutup dan terbatas, serta bersifat \ninformal.","genre":"doctoralThesis","language":"id","note":"Accepted: 2019-12-16T07:58:26Z","publisher":"UIN Syarif Hidayatullah Jakarta","source":"repository.uinjkt.ac.id","title":"Living hadith pernikahan: studi antropologi hadis dalam tradisi islam sasak lombok","title-short":"Living hadith pernikahan","URL":"https://repository.uinjkt.ac.id/dspace/handle/123456789/48804","author":[{"family":"Nikmatullah","given":""}],"accessed":{"date-parts":[["2025",1,25]]},"issued":{"date-parts":[["2019",12]]}}}],"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Nikmatullah, “Living hadith pernikahan: studi antropologi hadis dalam tradisi islam sasak lombok” (DoctoralThesis, UIN Syarif Hidayatullah Jakarta, 2019), https://repository.uinjkt.ac.id/dspace/handle/123456789/48804.</w:t>
      </w:r>
      <w:r w:rsidRPr="00FB0005">
        <w:rPr>
          <w:rFonts w:ascii="Garamond" w:hAnsi="Garamond" w:cstheme="majorBidi"/>
        </w:rPr>
        <w:fldChar w:fldCharType="end"/>
      </w:r>
    </w:p>
  </w:footnote>
  <w:footnote w:id="50">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{"citationID":"pX5Au0tD","properties":{"formattedCitation":"Ahmad Mahfudz, \\uc0\\u8220{}Tradisi pernikahan di masyarakat payudan karangsokon guluk-guluk sumenep (kajian living hadis)\\uc0\\u8221{} (bachelorThesis, UIN Syarif Hidayatullah Jakarta, 2017), https://repository.uinjkt.ac.id/dspace/handle/123456789/34694.","plainCitation":"Ahmad Mahfudz, “Tradisi pernikahan di masyarakat payudan karangsokon guluk-guluk sumenep (kajian living hadis)” (bachelorThesis, UIN Syarif Hidayatullah Jakarta, 2017), https://repository.uinjkt.ac.id/dspace/handle/123456789/34694.","dontUpdate":true,"noteIndex":40},"citationItems":[{"id":1998,"uris":["http://zotero.org/users/local/n49v5LOV/items/7VQ6AQXV"],"itemData":{"id":1998,"type":"thesis","abstract":"Pernikahan merupakan suatu cara yang dipilih dalam menyatukan dua\npasangan yang berbeda jenis, sehingga kemudian akan menjadi media terhadap\nperkembangan manusia serta menghindari dari hawa nafsu. Sedangkan hadis\nmerupakan suatu bagian yang penting bagi masyarakat karena didalamnya\nterungkap tentang berbagai tradisi pada masa Nabi. Salah satu tradisi pernikahan\nyang mengakar di Masyarakat Karangsokon adalah tentang persetujuan\npernikahan yang kemudian seakan-akan mengambil hak berbicara dari seoarang\nanak dalam menentukan pasangannya. Serta adanya sebuah upaya untuk\nmenentukan hari baik (Nyareh Dhinah Begus) setiap akan melangsungkan\npernikahan putrinya bahkan Masjid/Mushalla yang diyakini sebagai tempat suci\njuga menjadi bagian untuk tempat berlangsunya pernikahan.\nDalam penelitian ini, penulis menggunakan metode Living Hadis yang\nmenggunakan pendekatan sosiologi karena yang menjadi obyek kajiannya adalah\nmasyarakat, kemudian untuk lebih mendukung penelitian ini maka penulis\nmenggunakan metode pengumpulan data yaitu dengan metode interview, metode\nobservasi dan metode dokumentasi. Data yang telah terkumpul kemudian\ndideskripsikan secara alami dan dianalisis.\nSetelah penulis melakukan penelitian, maka penulis dapat mengambil\nkesimpulan bahwa dalam pelaksanaan pernikahan masyarakat Karangsokon\nGuluk-Guluk Sumenep masih berdasar pada kepercayaan leluhur yang kemudian\ndiimbangai dengan dasar Islam. Seperti halnya dalam persetujuan pernikahan,\nmasyarakat merujuk terhadap hadis Nabi. Walaupun dalam hal tersebut tidak\nsesuai dengan yang dianjurkan dalam pengamalannya untuk meminta persetujuan.\nSebab yang terjadi di Masyarakat adalah tidak meminta persetujuan, melainkan\nhanya memberitahukan saja (formalitas) tanpa mengindahkan pada jawaban.\nSedangkan pada acara yang lain tidak demikian seperti halnya penentuan hari baik\n(Nyareh Dhinah Begus) dalam pelaksanaan pernikahan, dimana acara akad nikah\ndengan resepsi pernikahan dilakukan pada waktu yang sama. Kebiasaan\nmasyarakat Karangsokon ini dimaknai sebagai upaya menghilangkan rasa cemas\ndan dapat memberikan keberkahan kepada kedua mempelai. Begitu pula dengan\nmushalla yang biasa dijadikan sebagai tempat pernikahan, didasari hadis nabi\nyang menganjurkan untuk mengumumkan pernikahan di Masjid/Mushalla.\nBerdasar hal itu pula diharapkana kedua menpelai akan mendapatkan keberkahan\ndari tempat yang oleh umat Islam dianggap sebagai tempat yang suci, sehingga\nkemudian akan menjadikan keluarga yang Sakinah Mawaddah Warahmah.\nKata Kunci: Living Hadis, Pernikahan, Masjid/Mushalla","genre":"bachelorThesis","language":"id","note":"Accepted: 2017-04-27T08:00:51Z","publisher":"UIN Syarif Hidayatullah Jakarta","source":"repository.uinjkt.ac.id","title":"Tradisi pernikahan di masyarakat payudan karangsokon guluk-guluk sumenep (kajian living hadis)","URL":"https://repository.uinjkt.ac.id/dspace/handle/123456789/34694","author":[{"family":"Mahfudz","given":"Ahmad"}],"accessed":{"date-parts":[["2025",1,25]]},"issued":{"date-parts":[["2017",4,17]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Ahmad Mahfudz, “Tradisi pernikahan di masyarakat payudan karangsokon guluk-guluk sumenep (kajian living hadis)” (BachelorThesis, UIN Syarif Hidayatullah Jakarta, 2017), https://repository.uinjkt.ac.id/dspace/handle/123456789/34694.</w:t>
      </w:r>
      <w:r w:rsidRPr="00FB0005">
        <w:rPr>
          <w:rFonts w:ascii="Garamond" w:hAnsi="Garamond" w:cstheme="majorBidi"/>
        </w:rPr>
        <w:fldChar w:fldCharType="end"/>
      </w:r>
    </w:p>
  </w:footnote>
  <w:footnote w:id="51">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{"citationID":"YUkWQ2hs","properties":{"formattedCitation":"Nurkholis Sofwan, \\uc0\\u8220{}Living hadis\\uc0\\u8239{}: studi atas fenomena tradisi fidyah salat dan puasa bagi orang meninggal di Indramayu\\uc0\\u8221{} (masterThesis, UIN Syarif Hidayatullah Jakarta, 2018), https://repository.uinjkt.ac.id/dspace/handle/123456789/37820.","plainCitation":"Nurkholis Sofwan, “Living hadis</w:instrText>
      </w:r>
      <w:r w:rsidRPr="00FB0005">
        <w:rPr>
          <w:rFonts w:ascii="Times New Roman" w:hAnsi="Times New Roman" w:cs="Times New Roman"/>
        </w:rPr>
        <w:instrText> </w:instrText>
      </w:r>
      <w:r w:rsidRPr="00FB0005">
        <w:rPr>
          <w:rFonts w:ascii="Garamond" w:hAnsi="Garamond" w:cstheme="majorBidi"/>
        </w:rPr>
        <w:instrText>: studi atas fenomena tradisi fidyah salat dan puasa bagi orang meninggal di Indramayu</w:instrText>
      </w:r>
      <w:r w:rsidRPr="00FB0005">
        <w:rPr>
          <w:rFonts w:ascii="Garamond" w:hAnsi="Garamond" w:cs="Georgia"/>
        </w:rPr>
        <w:instrText>”</w:instrText>
      </w:r>
      <w:r w:rsidRPr="00FB0005">
        <w:rPr>
          <w:rFonts w:ascii="Garamond" w:hAnsi="Garamond" w:cstheme="majorBidi"/>
        </w:rPr>
        <w:instrText xml:space="preserve"> (masterThesis, UIN Syarif Hidayatullah Jakarta, 2018), https://repository.uinjkt.ac.id/dspace/handle/123456789/37820.","dontUpdate":true,"noteIndex":41},"citationItems":[{"id":1996,"uris":["http://zotero.org/users/local/n49v5LOV/items/MTXFJC4F"],"itemData":{"id":1996,"type":"thesis","abstract":"Penelitian ini untuk mendeskripsikan fenomena tradisi fidyah salat dan\npuasa bagi orang meninggal di Indramayu sebagai fenomena living hadis. Secara\numum, fidyah salat yang dilakukan masyarakat masih menimbulkan kontroversi\nyang cukup sengit, baik dari segi pemahaman maupun praktiknya. Berbeda\ndengan fidyah puasa yang disepakati oleh seluruh masyarakat Muslim. Meski\ndemikian, masyarakat Indramayu tetap melaksanakan tradisi fidyah yang mereka\nanggap sesuai dengan petunjuk hadis dan pendapat para ulama fiqh dalam ‘kitabkitab\nkuning’. Oleh karena itu, penelitian ini sangat penting dan menarik untuk\nditeliti lebih dalam. Penelitian ini bertujuan untuk: 1) mengetahui pendapat ulama\ntentang fidyah salat dan puasa bagi orang meninggal, 2) mengetahui sejarah\nterbentuknya tradisi fidyah di Indramayu, 3) mengetahui pemahaman dan beragam\npraktik tradisi fidyah yang dilakukan masyarakat Indramayu sebagai pemaknaan\nterhadap hadis fidyah salat dan puasa.\nMetode yang digunakan dalam penelitian ini ialah kualitatif-deskriptif.\nAdapun pendekatan dalam penelitian ini yaitu pendekatan fenomenologi,\netnografi dan studi kasus. Pendekatan fenomenologi dilakukan dengan meneliti\nfakta religius yang bersifat subjektif dari masyarakat Indramayu tentang\npelaksanaan tradisi fidyah. Sementara pendekatan etnografi dilakukan untuk\nmendeskripsikan keadaan masyarakat Indramayu yang dilihat dari beberapa\naspek, terutama aspek sosial dan agama. Adapun pendekatan studi kasus dalam\npenelitian ini dilakukan dengan mengungkap pola-pola tradisi fidyah salat dan\npuasa di Indramayu. Pengumpulan data dilakukan dengan cara observasi dan\nwawancara mendalam (deep interview) kepada masyarakat Indramayu sebagai\nsumber primer penelitian dan menganalisa buku-buku yang mendukung tema\npenelitian sebagai sumber data sekunder. Penelitian ini dilakukan di Desa Tenajar\nLor (Kec. Kertasemaya), Desa Sliyeg Lor (Kec. Sliyeg), dan Desa Segeran Kidul\n(Kec.Juntinyuat), Kabupaten Indramayu.\nDari penelitian tersebut, disimpulkan bahwa sebagian ulama tidak sepakat\nterhadap fidyah salat dan puasa bagi orang meninggal, dan sebagian yang lain\nmenyepakatinya. Tradisi fidyah yang dilakukan masyarakat Indramayu telah ada\nsejak awal tahun 1900-an. Doktrin fidyah salat dan puasa berawal dari studi\nmasyarakat Indramayu di berbagai pesantren di Pulau Jawa, kemudian\nditransmisikan kepada masyarakat luas melalui pengajian-pengajian di pesantren,\nmasjid dan musala hingga menjadi tradisi yang kokoh. Masyarakat Indramayu\nmemaknai hadis fidyah salat dan puasa sebagai i</w:instrText>
      </w:r>
      <w:r w:rsidRPr="00FB0005">
        <w:rPr>
          <w:rFonts w:ascii="Times New Roman" w:hAnsi="Times New Roman" w:cs="Times New Roman"/>
        </w:rPr>
        <w:instrText>ḥ</w:instrText>
      </w:r>
      <w:r w:rsidRPr="00FB0005">
        <w:rPr>
          <w:rFonts w:ascii="Garamond" w:hAnsi="Garamond" w:cstheme="majorBidi"/>
        </w:rPr>
        <w:instrText>tiya</w:instrText>
      </w:r>
      <w:r w:rsidRPr="00FB0005">
        <w:rPr>
          <w:rFonts w:ascii="Times New Roman" w:hAnsi="Times New Roman" w:cs="Times New Roman"/>
        </w:rPr>
        <w:instrText>ṭ</w:instrText>
      </w:r>
      <w:r w:rsidRPr="00FB0005">
        <w:rPr>
          <w:rFonts w:ascii="Garamond" w:hAnsi="Garamond" w:cstheme="majorBidi"/>
        </w:rPr>
        <w:instrText xml:space="preserve"> (kehati-hatian) terhadap\nkekurangan atau utang salat dan puasa si mayyit. Dalam hal ini ada tiga (3) model\ntradisi fidyah yang dilakukan masyarakat Indramayu: 1) fidyah dengan cara\nmembolak-balikkan beras atau uang (tradisi Geong) pada hari tertentu, 2) fidyah\ndibagikan langsung kepada fakir miskin sebelum jenazah disalatkan, dan 3) beras\nfidyah dibagikan pada saat tahlilan. Pada umumnya, masyarakat Indramayu\nmelakukan tradisi fidyah pada hari ketujuh kematian seseorang.","genre":"masterThesis","language":"id","note":"Accepted: 2018-01-22T02:48:50Z","publisher":"UIN Syarif Hidayatullah Jakarta","source":"repository.uinjkt.ac.id","title":"Living hadis : studi atas fenomena tradisi fidyah salat dan puasa bagi orang meninggal di Indramayu","title-short":"Living hadis","URL":"https://repository.uinjkt.ac.id/dspace/handle/123456789/37820","author":[{"family":"Sofwan","given":"Nurkholis"}],"accessed":{"date-parts":[["2025",1,25]]},"issued":{"date-parts":[["2018",1,15]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Nurkholis Sofwan, “Living hadis</w:t>
      </w:r>
      <w:r w:rsidRPr="00FB0005">
        <w:rPr>
          <w:rFonts w:ascii="Times New Roman" w:hAnsi="Times New Roman" w:cs="Times New Roman"/>
          <w:szCs w:val="24"/>
        </w:rPr>
        <w:t> </w:t>
      </w:r>
      <w:r w:rsidRPr="00FB0005">
        <w:rPr>
          <w:rFonts w:ascii="Garamond" w:hAnsi="Garamond" w:cstheme="majorBidi"/>
          <w:szCs w:val="24"/>
        </w:rPr>
        <w:t>: studi atas fenomena tradisi fidyah salat dan puasa bagi orang meninggal di Indramayu</w:t>
      </w:r>
      <w:r w:rsidRPr="00FB0005">
        <w:rPr>
          <w:rFonts w:ascii="Garamond" w:hAnsi="Garamond" w:cs="Georgia"/>
          <w:szCs w:val="24"/>
        </w:rPr>
        <w:t>”</w:t>
      </w:r>
      <w:r w:rsidRPr="00FB0005">
        <w:rPr>
          <w:rFonts w:ascii="Garamond" w:hAnsi="Garamond" w:cstheme="majorBidi"/>
          <w:szCs w:val="24"/>
        </w:rPr>
        <w:t xml:space="preserve"> (MasterThesis, UIN Syarif Hidayatullah Jakarta, 2018), https://repository.uinjkt.ac.id/dspace/handle/123456789/37820.</w:t>
      </w:r>
      <w:r w:rsidRPr="00FB0005">
        <w:rPr>
          <w:rFonts w:ascii="Garamond" w:hAnsi="Garamond" w:cstheme="majorBidi"/>
        </w:rPr>
        <w:fldChar w:fldCharType="end"/>
      </w:r>
    </w:p>
  </w:footnote>
  <w:footnote w:id="52">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{"citationID":"kOyyyrcq","properties":{"formattedCitation":"Muhammad Solihin, \\uc0\\u8220{}Tradisi Kenduri Arwah Di Desa Labuhan Papan Kabupaten Rokan Hilir (Studi Living Hadis)\\uc0\\u8221{} (bachelorThesis, UIN Syarif Hidayatullah Jakarta, 2025), https://repository.uinjkt.ac.id/dspace/handle/123456789/83405.","plainCitation":"Muhammad Solihin, “Tradisi Kenduri Arwah Di Desa Labuhan Papan Kabupaten Rokan Hilir (Studi Living Hadis)” (bachelorThesis, UIN Syarif Hidayatullah Jakarta, 2025), https://repository.uinjkt.ac.id/dspace/handle/123456789/83405.","dontUpdate":true,"noteIndex":42},"citationItems":[{"id":1994,"uris":["http://zotero.org/users/local/n49v5LOV/items/HM7G2G2Z"],"itemData":{"id":1994,"type":"thesis","abstract":"Muhammad Solihin, 11210360000107, Tradisi Kenduri Arwah\ndi Desa Labuhan Papan Kabupaten Rokan Hilir (Studi Living\nHadis)\nPenelitian ini bertujuan untuk mengungkapkan praktik\nTradisi Kenduri Arwah di Desa Labuhan Papan Kabupaten Rokan\nHilir dengan rumusan masalah bagaimana pelaksanaan Kenduri\nArwah di Desa Labuhan Papan. Metode yang digunakan untuk\nmenggali dan mengumpulkan data dalam penelitian ini dengan\nmenggunakan tiga metode yaitu wawancara, observasi, dan\ndokumentasi. Sementara untuk menganalisis data, penulis\nmemayungi teori Edmund Husserl yang berlandaskan pada\nKesadaran, Intensionalitas, Konstitusi, Epoche, Reduksi, dan\nIntersubjektifitas. Hasil penelitian menunjukkan bahwa: pertama,\npelaksanaan Kenduri Arwah di Desa Labuhan Papan merupakan\nsebuah praktik yang sudah turun temurun yang mengandung nilainilai keagamaan dan ritual pelaksanaannya. Kedua, tahapan\nKenduri Arwah dimulai dengan mengundang tetangga,\npembukaan acara yang dibuka oleh pembawa acara, pembacaan\nsurah Al-Iklas, An-Nas, Al-Falaq, Al-Fatihah ditutup dengan doa.\ndan tradisi Kenduri Arwah memiliki tujuan di antaranya\npenghormatan arwah, wujud baktinya seorang anak, mempererat\nsilaturahmi, melindungi gangguan roh, memperlancar rezeki, dan\nmemperoleh berkah Al-Qur’an. Ketiga, fenomena dalam tradisi\nKenduri Arwah di Desa Labuhan Papan ini merupakan sebuah\npraktik Living Hadis dalam mengimplementasikan hadis-hadis\nanjuran bersedekah, mempererat silatuhhrahmi, mendoakan\nseseorang yang sudah meninggal, dan pembacaan surah Al-Ikhlas.\nYang di jadikan oleh masyarakat Desa Labuhan Papan sebagai\nresepsi terhadap hadis-hadis tersebut. Hadis tentang anjuran\nmembaca surah Al-Ikhlas terdapat dalam kitab sahih Bukhari dan\nberkualitas sahih.\nKata Kunci: Living Hadis, Surah Al-Ikhlas, Kenduri Arwah","genre":"bachelorThesis","language":"id","note":"Accepted: 2025-01-22T02:32:42Z","publisher":"UIN Syarif Hidayatullah Jakarta","source":"repository.uinjkt.ac.id","title":"Tradisi Kenduri Arwah Di Desa Labuhan Papan Kabupaten Rokan Hilir (Studi Living Hadis)","URL":"https://repository.uinjkt.ac.id/dspace/handle/123456789/83405","author":[{"family":"Solihin","given":"Muhammad"}],"accessed":{"date-parts":[["2025",1,25]]},"issued":{"date-parts":[["2025",1,15]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Muhammad Solihin, “Tradisi Kenduri Arwah Di Desa Labuhan Papan Kabupaten Rokan Hilir (Studi Living Hadis)” (BachelorThesis, UIN Syarif Hidayatullah Jakarta, 2025), https://repository.uinjkt.ac.id/dspace/handle/123456789/83405.</w:t>
      </w:r>
      <w:r w:rsidRPr="00FB0005">
        <w:rPr>
          <w:rFonts w:ascii="Garamond" w:hAnsi="Garamond" w:cstheme="majorBidi"/>
        </w:rPr>
        <w:fldChar w:fldCharType="end"/>
      </w:r>
    </w:p>
  </w:footnote>
  <w:footnote w:id="53">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{"citationID":"AiusG6Hc","properties":{"formattedCitation":"M. Zainur Rohman, \\uc0\\u8220{}Living Hadis: Studi Atas Fenomena Kegiatan Simaan Alquran Jantiko Mantab di Kabupaten Mesuji\\uc0\\u8221{} (masterThesis, UIN Syarif Hidayatullah Jakarta, 2020), https://repository.uinjkt.ac.id/dspace/handle/123456789/51543.","plainCitation":"M. Zainur Rohman, “Living Hadis: Studi Atas Fenomena Kegiatan Simaan Alquran Jantiko Mantab di Kabupaten Mesuji” (masterThesis, UIN Syarif Hidayatullah Jakarta, 2020), https://repository.uinjkt.ac.id/dspace/handle/123456789/51543.","dontUpdate":true,"noteIndex":43},"citationItems":[{"id":1992,"uris":["http://zotero.org/users/local/n49v5LOV/items/DWXJXRL2"],"itemData":{"id":1992,"type":"thesis","abstract":"Penelitian ini untuk mendeskripsikan fenomena kegiatan simaan\nAlquran Jantiko Mantab sebagai fenomena living hadis. Secara umum,\npendirian kegiatan simaan Alquran Jantiko Mantab sebagai sebuah\npengamalan dari hadis Nabi Saw yang diyakini oleh para pendirinya\nsebagai sebuah solusi untuk meredam kekacauan dan berusaha untuk\nmenjadikan Kabupaten Mesuji yang damai dan aman, menyisakan\nbanyak pertanyaan. Namun demikian, masyarakat Kabupaten Mesuji\nselalu konsisten menjalankannya. Oleh karena itu, fenomena ini sangat\nmenarik untuk diteliti lebih mendalam lagi. Penelitian ini bertujuan\nuntuk menganalisa pemahaman dan praktik kegiatan simaan Alquran\nJantiko Mantab sebagai pemaknaan terhadap hadis Nabi oleh para\nulama setempat dan masyarakat Kabupaten Mesuji.\nMetode yang digunakan dalam penelitian ini adalah kualitatifdeskriptif.\nAdapun pendekatan dalam penelitian ini yakni pendekatan\nfenomenologi, etnografi, dan studi kasus. Pengumpulan data dilakukan\ndengan cara observasi dan wawancara mendalam (deep interview)\nkepada masyarakat Kabupaten Mesuji sebagai sumber primer\npenelitian dan menganalisa buku-buku yang mendukung tema\npenelitian sebagai sumber data sekunder. Penelitian ini dilakukan di\nDesa Abung Kiwa (Kec. Tanjung Raya), Desa Fajar Asri (Kec. Panca\nJaya), Desa Mukti Karya (Kec. Panca Jaya), Desa Mekar Sari (Kec.\nTanjung Raya), Desa Tanjung Mas Jaya (Kec. Mesuji Timur)\nKabupaten Mesuji.\nDari penelitian tersebut, disimpulkan bahwa para ulama dan\nmasyarakat di Kabupaten Mesuji memahami hadis membaca Alquran\ndan mentadaruskannya bersama-sama di antara mereka di suatu masjid\nsebagai sebuah cara untuk menciptakan suasana yang damai dan aman\ndengan sebab turunnya sak</w:instrText>
      </w:r>
      <w:r w:rsidRPr="00FB0005">
        <w:rPr>
          <w:rFonts w:ascii="Times New Roman" w:hAnsi="Times New Roman" w:cs="Times New Roman"/>
        </w:rPr>
        <w:instrText>ȋ</w:instrText>
      </w:r>
      <w:r w:rsidRPr="00FB0005">
        <w:rPr>
          <w:rFonts w:ascii="Garamond" w:hAnsi="Garamond" w:cstheme="majorBidi"/>
        </w:rPr>
        <w:instrText xml:space="preserve">nah (ketenangan) dan rahmat, maka\ndididirikanlah kegiatan simaan Alquran Jantiko Mantab yang inti\nacaranya adalah membaca dan menyimak Alquran serta ditambah\nbeberapa amalan lainnya.","genre":"masterThesis","language":"id","note":"Accepted: 2020-07-28T05:42:03Z","publisher":"UIN Syarif Hidayatullah Jakarta","source":"repository.uinjkt.ac.id","title":"Living Hadis: Studi Atas Fenomena Kegiatan Simaan Alquran Jantiko Mantab di Kabupaten Mesuji","title-short":"Living Hadis","URL":"https://repository.uinjkt.ac.id/dspace/handle/123456789/51543","author":[{"family":"Rohman","given":"M. Zainur"}],"accessed":{"date-parts":[["2025",1,25]]},"issued":{"date-parts":[["2020",7,17]]}}}],"schema":"https://github.com/citation-style-language/schema/raw/master/csl-citation.json"}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M. Zainur Rohman, “Living Hadis: Studi Atas Fenomena Kegiatan Simaan Alquran Jantiko Mantab di Kabupaten Mesuji” (MasterThesis, UIN Syarif Hidayatullah Jakarta, 2020), https://repository.uinjkt.ac.id/dspace/handle/123456789/51543.</w:t>
      </w:r>
      <w:r w:rsidRPr="00FB0005">
        <w:rPr>
          <w:rFonts w:ascii="Garamond" w:hAnsi="Garamond" w:cstheme="majorBidi"/>
        </w:rPr>
        <w:fldChar w:fldCharType="end"/>
      </w:r>
    </w:p>
  </w:footnote>
  <w:footnote w:id="54">
    <w:p w:rsidR="004F3629" w:rsidRPr="008671E9" w:rsidRDefault="004F3629" w:rsidP="008671E9">
      <w:pPr>
        <w:pStyle w:val="FootnoteText"/>
        <w:jc w:val="both"/>
        <w:rPr>
          <w:rFonts w:ascii="Garamond" w:hAnsi="Garamond"/>
        </w:rPr>
      </w:pPr>
      <w:r w:rsidRPr="008671E9">
        <w:rPr>
          <w:rStyle w:val="FootnoteReference"/>
          <w:rFonts w:ascii="Garamond" w:hAnsi="Garamond"/>
        </w:rPr>
        <w:footnoteRef/>
      </w:r>
      <w:r w:rsidRPr="008671E9">
        <w:rPr>
          <w:rFonts w:ascii="Garamond" w:hAnsi="Garamond"/>
        </w:rPr>
        <w:t xml:space="preserve"> </w:t>
      </w:r>
      <w:proofErr w:type="spellStart"/>
      <w:r w:rsidRPr="008671E9">
        <w:rPr>
          <w:rFonts w:ascii="Garamond" w:hAnsi="Garamond"/>
        </w:rPr>
        <w:t>Edriagus</w:t>
      </w:r>
      <w:proofErr w:type="spellEnd"/>
      <w:r w:rsidRPr="008671E9">
        <w:rPr>
          <w:rFonts w:ascii="Garamond" w:hAnsi="Garamond"/>
        </w:rPr>
        <w:t xml:space="preserve"> </w:t>
      </w:r>
      <w:proofErr w:type="spellStart"/>
      <w:r w:rsidRPr="008671E9">
        <w:rPr>
          <w:rFonts w:ascii="Garamond" w:hAnsi="Garamond"/>
        </w:rPr>
        <w:t>Saputra</w:t>
      </w:r>
      <w:proofErr w:type="spellEnd"/>
      <w:r w:rsidRPr="008671E9">
        <w:rPr>
          <w:rFonts w:ascii="Garamond" w:hAnsi="Garamond"/>
        </w:rPr>
        <w:t xml:space="preserve">, Nana </w:t>
      </w:r>
      <w:proofErr w:type="spellStart"/>
      <w:r w:rsidRPr="008671E9">
        <w:rPr>
          <w:rFonts w:ascii="Garamond" w:hAnsi="Garamond"/>
        </w:rPr>
        <w:t>Gustianda</w:t>
      </w:r>
      <w:proofErr w:type="spellEnd"/>
      <w:r w:rsidRPr="008671E9">
        <w:rPr>
          <w:rFonts w:ascii="Garamond" w:hAnsi="Garamond"/>
        </w:rPr>
        <w:t xml:space="preserve">, </w:t>
      </w:r>
      <w:proofErr w:type="spellStart"/>
      <w:r w:rsidRPr="008671E9">
        <w:rPr>
          <w:rFonts w:ascii="Garamond" w:hAnsi="Garamond"/>
        </w:rPr>
        <w:t>Novizal</w:t>
      </w:r>
      <w:proofErr w:type="spellEnd"/>
      <w:r w:rsidRPr="008671E9">
        <w:rPr>
          <w:rFonts w:ascii="Garamond" w:hAnsi="Garamond"/>
        </w:rPr>
        <w:t xml:space="preserve"> </w:t>
      </w:r>
      <w:proofErr w:type="spellStart"/>
      <w:r w:rsidRPr="008671E9">
        <w:rPr>
          <w:rFonts w:ascii="Garamond" w:hAnsi="Garamond"/>
        </w:rPr>
        <w:t>Wendry</w:t>
      </w:r>
      <w:proofErr w:type="spellEnd"/>
      <w:r w:rsidRPr="008671E9">
        <w:rPr>
          <w:rFonts w:ascii="Garamond" w:hAnsi="Garamond"/>
        </w:rPr>
        <w:t xml:space="preserve">, </w:t>
      </w:r>
      <w:proofErr w:type="spellStart"/>
      <w:r w:rsidRPr="008671E9">
        <w:rPr>
          <w:rFonts w:ascii="Garamond" w:hAnsi="Garamond"/>
        </w:rPr>
        <w:t>Arwansyah</w:t>
      </w:r>
      <w:proofErr w:type="spellEnd"/>
      <w:r w:rsidRPr="008671E9">
        <w:rPr>
          <w:rFonts w:ascii="Garamond" w:hAnsi="Garamond"/>
        </w:rPr>
        <w:t xml:space="preserve"> bin Kirin, </w:t>
      </w:r>
      <w:proofErr w:type="spellStart"/>
      <w:r w:rsidRPr="008671E9">
        <w:rPr>
          <w:rFonts w:ascii="Garamond" w:hAnsi="Garamond"/>
        </w:rPr>
        <w:t>Zakiyah</w:t>
      </w:r>
      <w:proofErr w:type="spellEnd"/>
      <w:r w:rsidRPr="008671E9">
        <w:rPr>
          <w:rFonts w:ascii="Garamond" w:hAnsi="Garamond"/>
        </w:rPr>
        <w:t xml:space="preserve"> </w:t>
      </w:r>
      <w:proofErr w:type="spellStart"/>
      <w:r w:rsidRPr="008671E9">
        <w:rPr>
          <w:rFonts w:ascii="Garamond" w:hAnsi="Garamond"/>
        </w:rPr>
        <w:t>Zakiyah</w:t>
      </w:r>
      <w:proofErr w:type="spellEnd"/>
      <w:r w:rsidRPr="008671E9">
        <w:rPr>
          <w:rFonts w:ascii="Garamond" w:hAnsi="Garamond"/>
        </w:rPr>
        <w:t xml:space="preserve">, </w:t>
      </w:r>
      <w:proofErr w:type="spellStart"/>
      <w:r w:rsidRPr="008671E9">
        <w:rPr>
          <w:rFonts w:ascii="Garamond" w:hAnsi="Garamond"/>
        </w:rPr>
        <w:t>Afrinaldi</w:t>
      </w:r>
      <w:proofErr w:type="spellEnd"/>
      <w:r w:rsidRPr="008671E9">
        <w:rPr>
          <w:rFonts w:ascii="Garamond" w:hAnsi="Garamond"/>
        </w:rPr>
        <w:t xml:space="preserve"> </w:t>
      </w:r>
      <w:proofErr w:type="spellStart"/>
      <w:r w:rsidRPr="008671E9">
        <w:rPr>
          <w:rFonts w:ascii="Garamond" w:hAnsi="Garamond"/>
        </w:rPr>
        <w:t>Afrinaldi</w:t>
      </w:r>
      <w:proofErr w:type="spellEnd"/>
      <w:r w:rsidRPr="008671E9">
        <w:rPr>
          <w:rFonts w:ascii="Garamond" w:hAnsi="Garamond"/>
        </w:rPr>
        <w:t xml:space="preserve">, </w:t>
      </w:r>
      <w:proofErr w:type="spellStart"/>
      <w:r w:rsidRPr="008671E9">
        <w:rPr>
          <w:rFonts w:ascii="Garamond" w:hAnsi="Garamond"/>
        </w:rPr>
        <w:t>Amal</w:t>
      </w:r>
      <w:proofErr w:type="spellEnd"/>
      <w:r w:rsidRPr="008671E9">
        <w:rPr>
          <w:rFonts w:ascii="Garamond" w:hAnsi="Garamond"/>
        </w:rPr>
        <w:t xml:space="preserve"> </w:t>
      </w:r>
      <w:proofErr w:type="spellStart"/>
      <w:r w:rsidRPr="008671E9">
        <w:rPr>
          <w:rFonts w:ascii="Garamond" w:hAnsi="Garamond"/>
        </w:rPr>
        <w:t>Syahidin</w:t>
      </w:r>
      <w:proofErr w:type="spellEnd"/>
      <w:r w:rsidRPr="008671E9">
        <w:rPr>
          <w:rFonts w:ascii="Garamond" w:hAnsi="Garamond"/>
        </w:rPr>
        <w:t xml:space="preserve">, </w:t>
      </w:r>
      <w:proofErr w:type="spellStart"/>
      <w:r w:rsidRPr="008671E9">
        <w:rPr>
          <w:rFonts w:ascii="Garamond" w:hAnsi="Garamond"/>
        </w:rPr>
        <w:t>dan</w:t>
      </w:r>
      <w:proofErr w:type="spellEnd"/>
      <w:r w:rsidRPr="008671E9">
        <w:rPr>
          <w:rFonts w:ascii="Garamond" w:hAnsi="Garamond"/>
        </w:rPr>
        <w:t xml:space="preserve"> </w:t>
      </w:r>
      <w:proofErr w:type="spellStart"/>
      <w:r w:rsidRPr="008671E9">
        <w:rPr>
          <w:rFonts w:ascii="Garamond" w:hAnsi="Garamond"/>
        </w:rPr>
        <w:t>Alven</w:t>
      </w:r>
      <w:proofErr w:type="spellEnd"/>
      <w:r w:rsidRPr="008671E9">
        <w:rPr>
          <w:rFonts w:ascii="Garamond" w:hAnsi="Garamond"/>
        </w:rPr>
        <w:t xml:space="preserve"> Putra, “Living Hadith: Concept, Role, and Development in Indonesia,” Islam </w:t>
      </w:r>
      <w:proofErr w:type="spellStart"/>
      <w:r w:rsidRPr="008671E9">
        <w:rPr>
          <w:rFonts w:ascii="Garamond" w:hAnsi="Garamond"/>
        </w:rPr>
        <w:t>Transformatif</w:t>
      </w:r>
      <w:proofErr w:type="spellEnd"/>
      <w:r w:rsidRPr="008671E9">
        <w:rPr>
          <w:rFonts w:ascii="Garamond" w:hAnsi="Garamond"/>
        </w:rPr>
        <w:t xml:space="preserve">: Journal of Islamic Studies 8, no. 2 (July–December 2024): </w:t>
      </w:r>
      <w:r>
        <w:rPr>
          <w:rFonts w:ascii="Garamond" w:hAnsi="Garamond"/>
        </w:rPr>
        <w:t>158</w:t>
      </w:r>
      <w:r w:rsidRPr="008671E9">
        <w:rPr>
          <w:rFonts w:ascii="Garamond" w:hAnsi="Garamond"/>
        </w:rPr>
        <w:t>, https://doi.org/10.30983/it.v8i2.8884.</w:t>
      </w:r>
    </w:p>
  </w:footnote>
  <w:footnote w:id="55">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{"citationID":"dKb8k2vX","properties":{"formattedCitation":"Muhammad Alfatih Suryadilaga, \\uc0\\u8220{}Mafh\\uc0\\u363{}m Al-\\uc0\\u7778{}alaw\\uc0\\u257{}t \\uc0\\u8216{}inda Majm\\uc0\\u363{}\\uc0\\u8216{}at Joged Shalawat Mataram: Dir\\uc0\\u257{}sah F\\uc0\\u299{} al-\\uc0\\u7716{}ad\\uc0\\u299{}th al-\\uc0\\u7716{}ayy,\\uc0\\u8221{} {\\i{}Studia Islamika} 21, no. 3 (December 30, 2014): 535\\uc0\\u8211{}36, https://doi.org/10.15408/sdi.v21i3.1220.","plainCitation":"Muhammad Alfatih Suryadilaga, “Mafhūm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 xml:space="preserve">ayy,” Studia Islamika 21, no. 3 (December 30, 2014): 535–36, https://doi.org/10.15408/sdi.v21i3.1220.","dontUpdate":true,"noteIndex":44},"citationItems":[{"id":1875,"uris":["http://zotero.org/users/local/n49v5LOV/items/JSPE2B6B"],"itemData":{"id":1875,"type":"article-journal","abstract":"This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Alfatih"}],"issued":{"date-parts":[["2014",12,30]]}},"locator":"535-536"}],"schema":"https://github.com/citation-style-language/schema/raw/master/csl-citation.json"}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Muhammad Alfatih Suryadilaga, “Mafhūm Al-</w:t>
      </w:r>
      <w:r w:rsidRPr="00FB0005">
        <w:rPr>
          <w:rFonts w:ascii="Times New Roman" w:hAnsi="Times New Roman" w:cs="Times New Roman"/>
          <w:szCs w:val="24"/>
        </w:rPr>
        <w:t>Ṣ</w:t>
      </w:r>
      <w:r w:rsidRPr="00FB0005">
        <w:rPr>
          <w:rFonts w:ascii="Garamond" w:hAnsi="Garamond" w:cstheme="majorBidi"/>
          <w:szCs w:val="24"/>
        </w:rPr>
        <w:t>alawāt ‘inda Majmū‘at Joged Shalawat Mataram: Dirāsah Fī al-</w:t>
      </w:r>
      <w:r w:rsidRPr="00FB0005">
        <w:rPr>
          <w:rFonts w:ascii="Times New Roman" w:hAnsi="Times New Roman" w:cs="Times New Roman"/>
          <w:szCs w:val="24"/>
        </w:rPr>
        <w:t>Ḥ</w:t>
      </w:r>
      <w:r w:rsidRPr="00FB0005">
        <w:rPr>
          <w:rFonts w:ascii="Garamond" w:hAnsi="Garamond" w:cstheme="majorBidi"/>
          <w:szCs w:val="24"/>
        </w:rPr>
        <w:t>adīth al-</w:t>
      </w:r>
      <w:r w:rsidRPr="00FB0005">
        <w:rPr>
          <w:rFonts w:ascii="Times New Roman" w:hAnsi="Times New Roman" w:cs="Times New Roman"/>
          <w:szCs w:val="24"/>
        </w:rPr>
        <w:t>Ḥ</w:t>
      </w:r>
      <w:r w:rsidRPr="00FB0005">
        <w:rPr>
          <w:rFonts w:ascii="Garamond" w:hAnsi="Garamond" w:cstheme="majorBidi"/>
          <w:szCs w:val="24"/>
        </w:rPr>
        <w:t xml:space="preserve">ayy,” </w:t>
      </w:r>
      <w:r w:rsidRPr="00FB0005">
        <w:rPr>
          <w:rFonts w:ascii="Garamond" w:hAnsi="Garamond" w:cstheme="majorBidi"/>
          <w:i/>
          <w:iCs/>
          <w:szCs w:val="24"/>
        </w:rPr>
        <w:t>Studia Islamika</w:t>
      </w:r>
      <w:r w:rsidRPr="00FB0005">
        <w:rPr>
          <w:rFonts w:ascii="Garamond" w:hAnsi="Garamond" w:cstheme="majorBidi"/>
          <w:szCs w:val="24"/>
        </w:rPr>
        <w:t xml:space="preserve"> 21, no. 3 (December 30, 2014): 535–536, https://doi.org/10.15408/sdi.v21i3.1220.</w:t>
      </w:r>
      <w:r w:rsidRPr="00FB0005">
        <w:rPr>
          <w:rFonts w:ascii="Garamond" w:hAnsi="Garamond" w:cstheme="majorBidi"/>
        </w:rPr>
        <w:fldChar w:fldCharType="end"/>
      </w:r>
    </w:p>
  </w:footnote>
  <w:footnote w:id="56">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{"citationID":"1JJvWtMT","properties":{"formattedCitation":"Yuli Sectio Rini, \\uc0\\u8220{}Joged Mataram: The Concept of Dance Applied in the Present Community Life\\uc0\\u8221{} (3rd International Conference on Arts and Arts Education (ICAAE 2019), Atlantis Press, 2020), 267, https://doi.org/10.2991/assehr.k.200703.055.","plainCitation":"Yuli Sectio Rini, “Joged Mataram: The Concept of Dance Applied in the Present Community Life” (3rd International Conference on Arts and Arts Education (ICAAE 2019), Atlantis Press, 2020), 267, https://doi.org/10.2991/assehr.k.200703.055.","noteIndex":45},"citationItems":[{"id":2006,"uris":["http://zotero.org/users/local/n49v5LOV/items/UX5KEIEK"],"itemData":{"id":2006,"type":"paper-conference","abstract":"The concept of Joged Mataram is an understanding that must be mastered by dancers who are learning Javanese dance. The mastery of Joged Mataram is significant for people who are learning dance to understand that learning dance beside the physical skills, it must also understand the concepts of dance. Therefore, an understanding of Joged Mataram is essential...","DOI":"10.2991/assehr.k.200703.055","event-title":"3rd International Conference on Arts and Arts Education (ICAAE 2019)","ISBN":"978-94-6252-981-6","language":"en","note":"ISSN: 2352-5398","page":"267-270","publisher":"Atlantis Press","source":"www.atlantis-press.com","title":"Joged Mataram: The Concept of Dance Applied in the Present Community Life","title-short":"Joged Mataram","URL":"https://www.atlantis-press.com/proceedings/icaae-19/125941614","author":[{"family":"Rini","given":"Yuli Sectio"}],"accessed":{"date-parts":[["2025",1,26]]},"issued":{"date-parts":[["2020",7,3]]}},"locator":"267"}],"schema":"https://github.com/citation-style-language/schema/raw/master/csl-citation.json"}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Yuli Sectio Rini, “Joged Mataram: The Concept of Dance Applied in the Present Community Life” (3rd International Conference on Arts and Arts Education (ICAAE 2019), Atlantis Press, 2020), 267, https://doi.org/10.2991/assehr.k.200703.055.</w:t>
      </w:r>
      <w:r w:rsidRPr="00FB0005">
        <w:rPr>
          <w:rFonts w:ascii="Garamond" w:hAnsi="Garamond" w:cstheme="majorBidi"/>
        </w:rPr>
        <w:fldChar w:fldCharType="end"/>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{"citationID":"Gc5F2x8U","properties":{"formattedCitation":"Suryadilaga, \\uc0\\u8220{}Mafh\\uc0\\u363{}m Al-\\uc0\\u7778{}alaw\\uc0\\u257{}t \\uc0\\u8216{}inda Majm\\uc0\\u363{}\\uc0\\u8216{}at Joged Shalawat Mataram,\\uc0\\u8221{} 542.","plainCitation":"Suryadilaga, “Mafhūm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 542.","noteIndex":45},"citationItems":[{"id":1875,"uris":["http://zotero.org/users/local/n49v5LOV/items/JSPE2B6B"],"itemData":{"id":1875,"type":"article-journal","abstract":"This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Alfatih"}],"issued":{"date-parts":[["2014",12,30]]}},"locator":"542"}],"schema":"https://github.com/citation-style-language/schema/raw/master/csl-citation.json"}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Suryadilaga, “Mafhūm Al-</w:t>
      </w:r>
      <w:r w:rsidRPr="00FB0005">
        <w:rPr>
          <w:rFonts w:ascii="Times New Roman" w:hAnsi="Times New Roman" w:cs="Times New Roman"/>
          <w:szCs w:val="24"/>
        </w:rPr>
        <w:t>Ṣ</w:t>
      </w:r>
      <w:r w:rsidRPr="00FB0005">
        <w:rPr>
          <w:rFonts w:ascii="Garamond" w:hAnsi="Garamond" w:cs="Times New Roman"/>
          <w:szCs w:val="24"/>
        </w:rPr>
        <w:t>alawāt ‘inda Majmū‘at Joged Shalawat Mataram,” 542.</w:t>
      </w:r>
      <w:r w:rsidRPr="00FB0005">
        <w:rPr>
          <w:rFonts w:ascii="Garamond" w:hAnsi="Garamond" w:cstheme="majorBidi"/>
        </w:rPr>
        <w:fldChar w:fldCharType="end"/>
      </w:r>
    </w:p>
  </w:footnote>
  <w:footnote w:id="57">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{"citationID":"7Ggx5m4c","properties":{"formattedCitation":"Suryadilaga, \\uc0\\u8220{}Mafh\\uc0\\u363{}m Al-\\uc0\\u7778{}alaw\\uc0\\u257{}t \\uc0\\u8216{}inda Majm\\uc0\\u363{}\\uc0\\u8216{}at Joged Shalawat Mataram,\\uc0\\u8221{} 540.","plainCitation":"Suryadilaga, “Mafhūm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 540.","noteIndex":46},"citationItems":[{"id":1875,"uris":["http://zotero.org/users/local/n49v5LOV/items/JSPE2B6B"],"itemData":{"id":1875,"type":"article-journal","abstract":"This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Alfatih"}],"issued":{"date-parts":[["2014",12,30]]}},"locator":"540"}],"schema":"https://github.com/citation-style-language/schema/raw/master/csl-citation.json"}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Suryadilaga, “Mafhūm Al-</w:t>
      </w:r>
      <w:r w:rsidRPr="00FB0005">
        <w:rPr>
          <w:rFonts w:ascii="Times New Roman" w:hAnsi="Times New Roman" w:cs="Times New Roman"/>
          <w:szCs w:val="24"/>
        </w:rPr>
        <w:t>Ṣ</w:t>
      </w:r>
      <w:r w:rsidRPr="00FB0005">
        <w:rPr>
          <w:rFonts w:ascii="Garamond" w:hAnsi="Garamond" w:cs="Times New Roman"/>
          <w:szCs w:val="24"/>
        </w:rPr>
        <w:t>alawāt ‘inda Majmū‘at Joged Shalawat Mataram,” 540.</w:t>
      </w:r>
      <w:r w:rsidRPr="00FB0005">
        <w:rPr>
          <w:rFonts w:ascii="Garamond" w:hAnsi="Garamond" w:cstheme="majorBidi"/>
        </w:rPr>
        <w:fldChar w:fldCharType="end"/>
      </w:r>
    </w:p>
  </w:footnote>
  <w:footnote w:id="58">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{"citationID":"rVn5mutn","properties":{"formattedCitation":"Suryadilaga, 542.","plainCitation":"Suryadilaga, 542.","noteIndex":47},"citationItems":[{"id":1875,"uris":["http://zotero.org/users/local/n49v5LOV/items/JSPE2B6B"],"itemData":{"id":1875,"type":"article-journal","abstract":"This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Alfatih"}],"issued":{"date-parts":[["2014",12,30]]}},"locator":"542"}],"schema":"https://github.com/citation-style-language/schema/raw/master/csl-citation.json"}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Suryadilaga, 542.</w:t>
      </w:r>
      <w:r w:rsidRPr="00FB0005">
        <w:rPr>
          <w:rFonts w:ascii="Garamond" w:hAnsi="Garamond" w:cstheme="majorBidi"/>
        </w:rPr>
        <w:fldChar w:fldCharType="end"/>
      </w:r>
    </w:p>
  </w:footnote>
  <w:footnote w:id="59">
    <w:p w:rsidR="004F3629" w:rsidRPr="00FB0005" w:rsidRDefault="004F3629" w:rsidP="00FB14E1">
      <w:pPr>
        <w:pStyle w:val="FootnoteText"/>
        <w:jc w:val="both"/>
        <w:rPr>
          <w:rFonts w:ascii="Garamond" w:hAnsi="Garamond" w:cs="Traditional Arabic"/>
          <w:sz w:val="28"/>
          <w:szCs w:val="28"/>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{"citationID":"YdzqmHLM","properties":{"formattedCitation":"Suryadilaga, 542.","plainCitation":"Suryadilaga, 542.","noteIndex":48},"citationItems":[{"id":1875,"uris":["http://zotero.org/users/local/n49v5LOV/items/JSPE2B6B"],"itemData":{"id":1875,"type":"article-journal","abstract":"This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Alfatih"}],"issued":{"date-parts":[["2014",12,30]]}},"locator":"542"}],"schema":"https://github.com/citation-style-language/schema/raw/master/csl-citation.json"}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Suryadilaga, 542.</w:t>
      </w:r>
      <w:r w:rsidRPr="00FB0005">
        <w:rPr>
          <w:rFonts w:ascii="Garamond" w:hAnsi="Garamond" w:cstheme="majorBidi"/>
        </w:rPr>
        <w:fldChar w:fldCharType="end"/>
      </w:r>
    </w:p>
  </w:footnote>
  <w:footnote w:id="60">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{"citationID":"qsmTiSox","properties":{"formattedCitation":"Rini, \\uc0\\u8220{}Joged Mataram,\\uc0\\u8221{} 269.","plainCitation":"Rini, “Joged Mataram,” 269.","noteIndex":49},"citationItems":[{"id":2006,"uris":["http://zotero.org/users/local/n49v5LOV/items/UX5KEIEK"],"itemData":{"id":2006,"type":"paper-conference","abstract":"The concept of Joged Mataram is an understanding that must be mastered by dancers who are learning Javanese dance. The mastery of Joged Mataram is significant for people who are learning dance to understand that learning dance beside the physical skills, it must also understand the concepts of dance. Therefore, an understanding of Joged Mataram is essential...","DOI":"10.2991/assehr.k.200703.055","event-title":"3rd International Conference on Arts and Arts Education (ICAAE 2019)","ISBN":"978-94-6252-981-6","language":"en","note":"ISSN: 2352-5398","page":"267-270","publisher":"Atlantis Press","source":"www.atlantis-press.com","title":"Joged Mataram: The Concept of Dance Applied in the Present Community Life","title-short":"Joged Mataram","URL":"https://www.atlantis-press.com/proceedings/icaae-19/125941614","author":[{"family":"Rini","given":"Yuli Sectio"}],"accessed":{"date-parts":[["2025",1,26]]},"issued":{"date-parts":[["2020",7,3]]}},"locator":"269"}],"schema":"https://github.com/citation-style-language/schema/raw/master/csl-citation.json"}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Rini, “Joged Mataram,” 269.</w:t>
      </w:r>
      <w:r w:rsidRPr="00FB0005">
        <w:rPr>
          <w:rFonts w:ascii="Garamond" w:hAnsi="Garamond" w:cstheme="majorBidi"/>
        </w:rPr>
        <w:fldChar w:fldCharType="end"/>
      </w:r>
    </w:p>
  </w:footnote>
  <w:footnote w:id="61">
    <w:p w:rsidR="004F3629" w:rsidRPr="00A73F5B" w:rsidRDefault="004F3629" w:rsidP="00A73F5B">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raditional Arabic"/>
          <w:sz w:val="28"/>
          <w:szCs w:val="28"/>
        </w:rPr>
        <w:t xml:space="preserve"> </w:t>
      </w:r>
      <w:r w:rsidRPr="00A73F5B">
        <w:rPr>
          <w:rFonts w:ascii="Garamond" w:hAnsi="Garamond" w:cs="Traditional Arabic"/>
          <w:rtl/>
          <w:lang w:bidi="ar-EG"/>
        </w:rPr>
        <w:t xml:space="preserve"> </w:t>
      </w:r>
      <w:r w:rsidRPr="00A73F5B">
        <w:rPr>
          <w:rFonts w:ascii="Garamond" w:hAnsi="Garamond" w:cs="Traditional Arabic"/>
          <w:lang w:bidi="ar-EG"/>
        </w:rPr>
        <w:t>It is full concentration without losing consciousness</w:t>
      </w:r>
      <w:r w:rsidRPr="00A73F5B">
        <w:rPr>
          <w:rFonts w:ascii="Garamond" w:hAnsi="Garamond" w:cs="Traditional Arabic"/>
          <w:rtl/>
          <w:lang w:bidi="ar-EG"/>
        </w:rPr>
        <w:t>.</w:t>
      </w:r>
    </w:p>
    <w:p w:rsidR="004F3629" w:rsidRPr="00FB0005" w:rsidRDefault="004F3629" w:rsidP="00FB14E1">
      <w:pPr>
        <w:pStyle w:val="FootnoteText"/>
        <w:jc w:val="both"/>
        <w:rPr>
          <w:rFonts w:ascii="Garamond" w:hAnsi="Garamond" w:cs="Traditional Arabic"/>
          <w:sz w:val="28"/>
          <w:szCs w:val="28"/>
          <w:rtl/>
          <w:lang w:bidi="ar-EG"/>
        </w:rPr>
      </w:pPr>
      <w:r w:rsidRPr="00FB0005">
        <w:rPr>
          <w:rFonts w:ascii="Garamond" w:hAnsi="Garamond" w:cstheme="majorBidi"/>
          <w:lang w:bidi="ar-EG"/>
        </w:rPr>
        <w:fldChar w:fldCharType="begin"/>
      </w:r>
      <w:r w:rsidRPr="00FB0005">
        <w:rPr>
          <w:rFonts w:ascii="Garamond" w:hAnsi="Garamond" w:cstheme="majorBidi"/>
          <w:lang w:bidi="ar-EG"/>
        </w:rPr>
        <w:instrText xml:space="preserve"> ADDIN ZOTERO_ITEM CSL_CITATION {"citationID":"UrOreciK","properties":{"formattedCitation":"Suryadilaga, \\uc0\\u8220{}Mafh\\uc0\\u363{}m Al-\\uc0\\u7778{}alaw\\uc0\\u257{}t \\uc0\\u8216{}inda Majm\\uc0\\u363{}\\uc0\\u8216{}at Joged Shalawat Mataram,\\uc0\\u8221{} 544.","plainCitation":"Suryadilaga, “Mafhūm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alawāt ‘inda Majmū‘at Joged Shalawat Mataram,” 544.","noteIndex":50},"citationItems":[{"id":1875,"uris":["http://zotero.org/users/local/n49v5LOV/items/JSPE2B6B"],"itemData":{"id":1875,"type":"article-journal","abstract":"This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lang w:bidi="ar-EG"/>
        </w:rPr>
        <w:instrText>ṣ</w:instrText>
      </w:r>
      <w:r w:rsidRPr="00FB0005">
        <w:rPr>
          <w:rFonts w:ascii="Garamond" w:hAnsi="Garamond" w:cstheme="majorBidi"/>
          <w:lang w:bidi="ar-EG"/>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alawāt ‘inda majmū‘at Joged Shalawat Mataram: Dirāsah fī al-</w:instrText>
      </w:r>
      <w:r w:rsidRPr="00FB0005">
        <w:rPr>
          <w:rFonts w:ascii="Times New Roman" w:hAnsi="Times New Roman" w:cs="Times New Roman"/>
          <w:lang w:bidi="ar-EG"/>
        </w:rPr>
        <w:instrText>ḥ</w:instrText>
      </w:r>
      <w:r w:rsidRPr="00FB0005">
        <w:rPr>
          <w:rFonts w:ascii="Garamond" w:hAnsi="Garamond" w:cstheme="majorBidi"/>
          <w:lang w:bidi="ar-EG"/>
        </w:rPr>
        <w:instrText>adīth al-</w:instrText>
      </w:r>
      <w:r w:rsidRPr="00FB0005">
        <w:rPr>
          <w:rFonts w:ascii="Times New Roman" w:hAnsi="Times New Roman" w:cs="Times New Roman"/>
          <w:lang w:bidi="ar-EG"/>
        </w:rPr>
        <w:instrText>ḥ</w:instrText>
      </w:r>
      <w:r w:rsidRPr="00FB0005">
        <w:rPr>
          <w:rFonts w:ascii="Garamond" w:hAnsi="Garamond" w:cstheme="majorBidi"/>
          <w:lang w:bidi="ar-EG"/>
        </w:rPr>
        <w:instrText>ayy","title-short":"Mafhūm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alawāt ‘inda majmū‘at Joged Shalawat Mataram","volume":"21","author":[{"family":"Suryadilaga","given":"Muhammad Alfatih"}],"issued":{"date-parts":[["2014",12,30]]}},"locator":"544"}],"schema":"https://github.com/citation-style-language/schema/raw/master/csl-citation.json"} </w:instrText>
      </w:r>
      <w:r w:rsidRPr="00FB0005">
        <w:rPr>
          <w:rFonts w:ascii="Garamond" w:hAnsi="Garamond" w:cstheme="majorBidi"/>
          <w:lang w:bidi="ar-EG"/>
        </w:rPr>
        <w:fldChar w:fldCharType="separate"/>
      </w:r>
      <w:r w:rsidRPr="00FB0005">
        <w:rPr>
          <w:rFonts w:ascii="Garamond" w:hAnsi="Garamond" w:cs="Times New Roman"/>
          <w:szCs w:val="24"/>
        </w:rPr>
        <w:t>Suryadilaga, “Mafhūm Al-</w:t>
      </w:r>
      <w:r w:rsidRPr="00FB0005">
        <w:rPr>
          <w:rFonts w:ascii="Times New Roman" w:hAnsi="Times New Roman" w:cs="Times New Roman"/>
          <w:szCs w:val="24"/>
        </w:rPr>
        <w:t>Ṣ</w:t>
      </w:r>
      <w:r w:rsidRPr="00FB0005">
        <w:rPr>
          <w:rFonts w:ascii="Garamond" w:hAnsi="Garamond" w:cs="Times New Roman"/>
          <w:szCs w:val="24"/>
        </w:rPr>
        <w:t>alawāt ‘inda Majmū‘at Joged Shalawat Mataram,” 544.</w:t>
      </w:r>
      <w:r w:rsidRPr="00FB0005">
        <w:rPr>
          <w:rFonts w:ascii="Garamond" w:hAnsi="Garamond" w:cstheme="majorBidi"/>
          <w:lang w:bidi="ar-EG"/>
        </w:rPr>
        <w:fldChar w:fldCharType="end"/>
      </w:r>
    </w:p>
  </w:footnote>
  <w:footnote w:id="62">
    <w:p w:rsidR="004F3629" w:rsidRPr="00FB0005" w:rsidRDefault="004F3629" w:rsidP="00A73F5B">
      <w:pPr>
        <w:pStyle w:val="FootnoteText"/>
        <w:jc w:val="both"/>
        <w:rPr>
          <w:rFonts w:ascii="Garamond" w:hAnsi="Garamond" w:cs="Traditional Arabic"/>
          <w:sz w:val="28"/>
          <w:szCs w:val="28"/>
          <w:rtl/>
        </w:rPr>
      </w:pPr>
      <w:r w:rsidRPr="00FB0005">
        <w:rPr>
          <w:rStyle w:val="FootnoteReference"/>
          <w:rFonts w:ascii="Garamond" w:hAnsi="Garamond"/>
        </w:rPr>
        <w:footnoteRef/>
      </w:r>
      <w:r>
        <w:rPr>
          <w:rFonts w:ascii="Garamond" w:hAnsi="Garamond" w:cs="Traditional Arabic"/>
        </w:rPr>
        <w:t xml:space="preserve"> </w:t>
      </w:r>
      <w:r w:rsidRPr="00A73F5B">
        <w:rPr>
          <w:rFonts w:ascii="Garamond" w:hAnsi="Garamond" w:cs="Traditional Arabic"/>
        </w:rPr>
        <w:t>It is the inner enthusiasm or dynamism that does not turn into cruelty, but the enthusiasm to go with the flow of life</w:t>
      </w:r>
    </w:p>
    <w:p w:rsidR="004F3629" w:rsidRPr="00FB0005" w:rsidRDefault="004F3629" w:rsidP="00FB14E1">
      <w:pPr>
        <w:pStyle w:val="FootnoteText"/>
        <w:jc w:val="both"/>
        <w:rPr>
          <w:rFonts w:ascii="Garamond" w:hAnsi="Garamond" w:cstheme="majorBidi"/>
          <w:rtl/>
          <w:lang w:bidi="ar-EG"/>
        </w:rPr>
      </w:pP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{"citationID":"1w7GHkTx","properties":{"formattedCitation":"Suryadilaga, 545.","plainCitation":"Suryadilaga, 545.","noteIndex":51},"citationItems":[{"id":1875,"uris":["http://zotero.org/users/local/n49v5LOV/items/JSPE2B6B"],"itemData":{"id":1875,"type":"article-journal","abstract":"This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Alfatih"}],"issued":{"date-parts":[["2014",12,30]]}},"locator":"545"}],"schema":"https://github.com/citation-style-language/schema/raw/master/csl-citation.json"}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Suryadilaga, 545.</w:t>
      </w:r>
      <w:r w:rsidRPr="00FB0005">
        <w:rPr>
          <w:rFonts w:ascii="Garamond" w:hAnsi="Garamond" w:cstheme="majorBidi"/>
        </w:rPr>
        <w:fldChar w:fldCharType="end"/>
      </w:r>
    </w:p>
  </w:footnote>
  <w:footnote w:id="63">
    <w:p w:rsidR="004F3629" w:rsidRPr="00FB0005" w:rsidRDefault="004F3629" w:rsidP="00A73F5B">
      <w:pPr>
        <w:pStyle w:val="FootnoteText"/>
        <w:jc w:val="both"/>
        <w:rPr>
          <w:rFonts w:ascii="Garamond" w:hAnsi="Garamond" w:cs="Traditional Arabic"/>
          <w:sz w:val="28"/>
          <w:szCs w:val="28"/>
          <w:rtl/>
          <w:lang w:bidi="ar-EG"/>
        </w:rPr>
      </w:pPr>
      <w:r w:rsidRPr="00FB0005">
        <w:rPr>
          <w:rStyle w:val="FootnoteReference"/>
          <w:rFonts w:ascii="Garamond" w:hAnsi="Garamond"/>
        </w:rPr>
        <w:footnoteRef/>
      </w:r>
      <w:r w:rsidRPr="00FB0005">
        <w:rPr>
          <w:rFonts w:ascii="Garamond" w:hAnsi="Garamond" w:cs="Traditional Arabic"/>
          <w:sz w:val="28"/>
          <w:szCs w:val="28"/>
          <w:rtl/>
          <w:lang w:bidi="ar-EG"/>
        </w:rPr>
        <w:t xml:space="preserve"> </w:t>
      </w:r>
      <w:r w:rsidRPr="00A73F5B">
        <w:rPr>
          <w:rFonts w:ascii="Garamond" w:hAnsi="Garamond" w:cs="Traditional Arabic"/>
          <w:lang w:bidi="ar-EG"/>
        </w:rPr>
        <w:t>Self-confidence with humility is a quality that every dancer should have. In other words, every dancer should be confident but not arrogant, because arrogance is an attribute of God, and the dancer is a submissive servant of God. He must also have a straightforward and optimistic attitude, free from indecision.</w:t>
      </w:r>
    </w:p>
    <w:p w:rsidR="004F3629" w:rsidRPr="00FB0005" w:rsidRDefault="004F3629" w:rsidP="00FB14E1">
      <w:pPr>
        <w:pStyle w:val="FootnoteText"/>
        <w:jc w:val="both"/>
        <w:rPr>
          <w:rFonts w:ascii="Garamond" w:hAnsi="Garamond" w:cstheme="majorBidi"/>
          <w:rtl/>
          <w:lang w:bidi="ar-EG"/>
        </w:rPr>
      </w:pPr>
      <w:r w:rsidRPr="00FB0005">
        <w:rPr>
          <w:rFonts w:ascii="Garamond" w:hAnsi="Garamond" w:cstheme="majorBidi"/>
          <w:lang w:bidi="ar-EG"/>
        </w:rPr>
        <w:fldChar w:fldCharType="begin"/>
      </w:r>
      <w:r w:rsidRPr="00FB0005">
        <w:rPr>
          <w:rFonts w:ascii="Garamond" w:hAnsi="Garamond" w:cstheme="majorBidi"/>
          <w:lang w:bidi="ar-EG"/>
        </w:rPr>
        <w:instrText xml:space="preserve"> ADDIN ZOTERO_ITEM CSL_CITATION {"citationID":"9kwoHXYS","properties":{"formattedCitation":"Suryadilaga, 545.","plainCitation":"Suryadilaga, 545.","noteIndex":52},"citationItems":[{"id":1875,"uris":["http://zotero.org/users/local/n49v5LOV/items/JSPE2B6B"],"itemData":{"id":1875,"type":"article-journal","abstract":"This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lang w:bidi="ar-EG"/>
        </w:rPr>
        <w:instrText>ṣ</w:instrText>
      </w:r>
      <w:r w:rsidRPr="00FB0005">
        <w:rPr>
          <w:rFonts w:ascii="Garamond" w:hAnsi="Garamond" w:cstheme="majorBidi"/>
          <w:lang w:bidi="ar-EG"/>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alawāt ‘inda majmū‘at Joged Shalawat Mataram: Dirāsah fī al-</w:instrText>
      </w:r>
      <w:r w:rsidRPr="00FB0005">
        <w:rPr>
          <w:rFonts w:ascii="Times New Roman" w:hAnsi="Times New Roman" w:cs="Times New Roman"/>
          <w:lang w:bidi="ar-EG"/>
        </w:rPr>
        <w:instrText>ḥ</w:instrText>
      </w:r>
      <w:r w:rsidRPr="00FB0005">
        <w:rPr>
          <w:rFonts w:ascii="Garamond" w:hAnsi="Garamond" w:cstheme="majorBidi"/>
          <w:lang w:bidi="ar-EG"/>
        </w:rPr>
        <w:instrText>adīth al-</w:instrText>
      </w:r>
      <w:r w:rsidRPr="00FB0005">
        <w:rPr>
          <w:rFonts w:ascii="Times New Roman" w:hAnsi="Times New Roman" w:cs="Times New Roman"/>
          <w:lang w:bidi="ar-EG"/>
        </w:rPr>
        <w:instrText>ḥ</w:instrText>
      </w:r>
      <w:r w:rsidRPr="00FB0005">
        <w:rPr>
          <w:rFonts w:ascii="Garamond" w:hAnsi="Garamond" w:cstheme="majorBidi"/>
          <w:lang w:bidi="ar-EG"/>
        </w:rPr>
        <w:instrText>ayy","title-short":"Mafhūm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alawāt ‘inda majmū‘at Joged Shalawat Mataram","volume":"21","author":[{"family":"Suryadilaga","given":"Muhammad Alfatih"}],"issued":{"date-parts":[["2014",12,30]]}},"locator":"545"}],"schema":"https://github.com/citation-style-language/schema/raw/master/csl-citation.json"} </w:instrText>
      </w:r>
      <w:r w:rsidRPr="00FB0005">
        <w:rPr>
          <w:rFonts w:ascii="Garamond" w:hAnsi="Garamond" w:cstheme="majorBidi"/>
          <w:lang w:bidi="ar-EG"/>
        </w:rPr>
        <w:fldChar w:fldCharType="separate"/>
      </w:r>
      <w:r w:rsidRPr="00FB0005">
        <w:rPr>
          <w:rFonts w:ascii="Garamond" w:hAnsi="Garamond" w:cstheme="majorBidi"/>
        </w:rPr>
        <w:t>Suryadilaga, 545.</w:t>
      </w:r>
      <w:r w:rsidRPr="00FB0005">
        <w:rPr>
          <w:rFonts w:ascii="Garamond" w:hAnsi="Garamond" w:cstheme="majorBidi"/>
          <w:lang w:bidi="ar-EG"/>
        </w:rPr>
        <w:fldChar w:fldCharType="end"/>
      </w:r>
    </w:p>
  </w:footnote>
  <w:footnote w:id="64">
    <w:p w:rsidR="004F3629" w:rsidRDefault="004F3629" w:rsidP="002833F4">
      <w:pPr>
        <w:pStyle w:val="FootnoteText"/>
        <w:rPr>
          <w:rFonts w:ascii="Garamond" w:hAnsi="Garamond" w:cs="Traditional Arabic"/>
          <w:lang w:bidi="ar-EG"/>
        </w:rPr>
      </w:pPr>
      <w:r w:rsidRPr="00FB0005">
        <w:rPr>
          <w:rStyle w:val="FootnoteReference"/>
          <w:rFonts w:ascii="Garamond" w:hAnsi="Garamond"/>
        </w:rPr>
        <w:footnoteRef/>
      </w:r>
      <w:r>
        <w:rPr>
          <w:rFonts w:ascii="Garamond" w:hAnsi="Garamond" w:cs="Traditional Arabic"/>
          <w:lang w:bidi="ar-EG"/>
        </w:rPr>
        <w:t xml:space="preserve"> </w:t>
      </w:r>
      <w:r w:rsidRPr="002833F4">
        <w:rPr>
          <w:rFonts w:ascii="Garamond" w:hAnsi="Garamond" w:cs="Traditional Arabic"/>
          <w:lang w:bidi="ar-EG"/>
        </w:rPr>
        <w:t>Translation</w:t>
      </w:r>
      <w:r>
        <w:rPr>
          <w:rFonts w:ascii="Garamond" w:hAnsi="Garamond" w:cs="Traditional Arabic"/>
          <w:lang w:bidi="ar-EG"/>
        </w:rPr>
        <w:t>:</w:t>
      </w:r>
    </w:p>
    <w:p w:rsidR="004F3629" w:rsidRDefault="004F3629" w:rsidP="002833F4">
      <w:pPr>
        <w:pStyle w:val="FootnoteText"/>
        <w:rPr>
          <w:rFonts w:ascii="Garamond" w:hAnsi="Garamond" w:cs="Traditional Arabic"/>
          <w:lang w:bidi="ar-EG"/>
        </w:rPr>
      </w:pPr>
      <w:r w:rsidRPr="002833F4">
        <w:rPr>
          <w:rFonts w:ascii="Garamond" w:hAnsi="Garamond" w:cs="Traditional Arabic"/>
          <w:lang w:bidi="ar-EG"/>
        </w:rPr>
        <w:t xml:space="preserve">Oh Allah, </w:t>
      </w:r>
    </w:p>
    <w:p w:rsidR="004F3629" w:rsidRPr="002833F4" w:rsidRDefault="004F3629" w:rsidP="002833F4">
      <w:pPr>
        <w:pStyle w:val="FootnoteText"/>
        <w:rPr>
          <w:rFonts w:ascii="Garamond" w:hAnsi="Garamond" w:cs="Traditional Arabic"/>
          <w:sz w:val="28"/>
          <w:szCs w:val="28"/>
          <w:lang w:bidi="ar-EG"/>
        </w:rPr>
      </w:pPr>
      <w:r w:rsidRPr="002833F4">
        <w:rPr>
          <w:rFonts w:ascii="Garamond" w:hAnsi="Garamond" w:cs="Traditional Arabic"/>
          <w:lang w:bidi="ar-EG"/>
        </w:rPr>
        <w:t>The</w:t>
      </w:r>
      <w:r>
        <w:rPr>
          <w:rFonts w:ascii="Garamond" w:hAnsi="Garamond" w:cs="Traditional Arabic"/>
          <w:sz w:val="28"/>
          <w:szCs w:val="28"/>
          <w:lang w:bidi="ar-EG"/>
        </w:rPr>
        <w:t xml:space="preserve"> </w:t>
      </w:r>
      <w:r w:rsidRPr="002833F4">
        <w:rPr>
          <w:rFonts w:ascii="Garamond" w:hAnsi="Garamond" w:cs="Traditional Arabic"/>
          <w:lang w:bidi="ar-EG"/>
        </w:rPr>
        <w:t>truth is not for us to find.</w:t>
      </w:r>
    </w:p>
    <w:p w:rsidR="004F3629" w:rsidRPr="002833F4" w:rsidRDefault="004F3629" w:rsidP="002833F4">
      <w:pPr>
        <w:pStyle w:val="FootnoteText"/>
        <w:rPr>
          <w:rFonts w:ascii="Garamond" w:hAnsi="Garamond" w:cs="Traditional Arabic"/>
          <w:lang w:bidi="ar-EG"/>
        </w:rPr>
      </w:pPr>
      <w:r w:rsidRPr="002833F4">
        <w:rPr>
          <w:rFonts w:ascii="Garamond" w:hAnsi="Garamond" w:cs="Traditional Arabic"/>
          <w:lang w:bidi="ar-EG"/>
        </w:rPr>
        <w:t>Sign morality. Through dance we sign morality.</w:t>
      </w:r>
    </w:p>
    <w:p w:rsidR="004F3629" w:rsidRPr="002833F4" w:rsidRDefault="004F3629" w:rsidP="002833F4">
      <w:pPr>
        <w:pStyle w:val="FootnoteText"/>
        <w:rPr>
          <w:rFonts w:ascii="Garamond" w:hAnsi="Garamond" w:cs="Traditional Arabic"/>
          <w:lang w:bidi="ar-EG"/>
        </w:rPr>
      </w:pPr>
      <w:r w:rsidRPr="002833F4">
        <w:rPr>
          <w:rFonts w:ascii="Garamond" w:hAnsi="Garamond" w:cs="Traditional Arabic"/>
          <w:lang w:bidi="ar-EG"/>
        </w:rPr>
        <w:t>Through dance,</w:t>
      </w:r>
    </w:p>
    <w:p w:rsidR="004F3629" w:rsidRPr="002833F4" w:rsidRDefault="004F3629" w:rsidP="002833F4">
      <w:pPr>
        <w:pStyle w:val="FootnoteText"/>
        <w:rPr>
          <w:rFonts w:ascii="Garamond" w:hAnsi="Garamond" w:cs="Traditional Arabic"/>
          <w:lang w:bidi="ar-EG"/>
        </w:rPr>
      </w:pPr>
      <w:r w:rsidRPr="002833F4">
        <w:rPr>
          <w:rFonts w:ascii="Garamond" w:hAnsi="Garamond" w:cs="Traditional Arabic"/>
          <w:lang w:bidi="ar-EG"/>
        </w:rPr>
        <w:t>Have I sinned who wanders for you?</w:t>
      </w:r>
    </w:p>
    <w:p w:rsidR="004F3629" w:rsidRPr="002833F4" w:rsidRDefault="004F3629" w:rsidP="002833F4">
      <w:pPr>
        <w:pStyle w:val="FootnoteText"/>
        <w:rPr>
          <w:rFonts w:ascii="Garamond" w:hAnsi="Garamond" w:cs="Traditional Arabic"/>
          <w:lang w:bidi="ar-EG"/>
        </w:rPr>
      </w:pPr>
      <w:r w:rsidRPr="002833F4">
        <w:rPr>
          <w:rFonts w:ascii="Garamond" w:hAnsi="Garamond" w:cs="Traditional Arabic"/>
          <w:lang w:bidi="ar-EG"/>
        </w:rPr>
        <w:t>In your valley we wander,</w:t>
      </w:r>
    </w:p>
    <w:p w:rsidR="004F3629" w:rsidRPr="002833F4" w:rsidRDefault="004F3629" w:rsidP="002833F4">
      <w:pPr>
        <w:pStyle w:val="FootnoteText"/>
        <w:rPr>
          <w:rFonts w:ascii="Garamond" w:hAnsi="Garamond" w:cs="Traditional Arabic"/>
          <w:rtl/>
          <w:lang w:bidi="ar-EG"/>
        </w:rPr>
      </w:pPr>
      <w:r w:rsidRPr="002833F4">
        <w:rPr>
          <w:rFonts w:ascii="Garamond" w:hAnsi="Garamond" w:cs="Traditional Arabic"/>
          <w:lang w:bidi="ar-EG"/>
        </w:rPr>
        <w:t>And so we sign the world</w:t>
      </w:r>
      <w:r w:rsidRPr="002833F4">
        <w:rPr>
          <w:rFonts w:ascii="Garamond" w:hAnsi="Garamond" w:cs="Traditional Arabic"/>
          <w:rtl/>
          <w:lang w:bidi="ar-EG"/>
        </w:rPr>
        <w:t>.</w:t>
      </w:r>
    </w:p>
    <w:p w:rsidR="004F3629" w:rsidRPr="00FB0005" w:rsidRDefault="004F3629" w:rsidP="00FB14E1">
      <w:pPr>
        <w:pStyle w:val="FootnoteText"/>
        <w:jc w:val="both"/>
        <w:rPr>
          <w:rFonts w:ascii="Garamond" w:hAnsi="Garamond" w:cstheme="majorBidi"/>
          <w:rtl/>
          <w:lang w:bidi="ar-EG"/>
        </w:rPr>
      </w:pPr>
      <w:r w:rsidRPr="00FB0005">
        <w:rPr>
          <w:rFonts w:ascii="Garamond" w:hAnsi="Garamond" w:cstheme="majorBidi"/>
          <w:lang w:bidi="ar-EG"/>
        </w:rPr>
        <w:fldChar w:fldCharType="begin"/>
      </w:r>
      <w:r w:rsidRPr="00FB0005">
        <w:rPr>
          <w:rFonts w:ascii="Garamond" w:hAnsi="Garamond" w:cstheme="majorBidi"/>
          <w:lang w:bidi="ar-EG"/>
        </w:rPr>
        <w:instrText xml:space="preserve"> ADDIN ZOTERO_ITEM CSL_CITATION {"citationID":"WMk0cktE","properties":{"formattedCitation":"Suryadilaga, 551\\uc0\\u8211{}52.","plainCitation":"Suryadilaga, 551–52.","dontUpdate":true,"noteIndex":54},"citationItems":[{"id":1875,"uris":["http://zotero.org/users/local/n49v5LOV/items/JSPE2B6B"],"itemData":{"id":1875,"type":"article-journal","abstract":"This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lang w:bidi="ar-EG"/>
        </w:rPr>
        <w:instrText>ṣ</w:instrText>
      </w:r>
      <w:r w:rsidRPr="00FB0005">
        <w:rPr>
          <w:rFonts w:ascii="Garamond" w:hAnsi="Garamond" w:cstheme="majorBidi"/>
          <w:lang w:bidi="ar-EG"/>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alawāt ‘inda majmū‘at Joged Shalawat Mataram: Dirāsah fī al-</w:instrText>
      </w:r>
      <w:r w:rsidRPr="00FB0005">
        <w:rPr>
          <w:rFonts w:ascii="Times New Roman" w:hAnsi="Times New Roman" w:cs="Times New Roman"/>
          <w:lang w:bidi="ar-EG"/>
        </w:rPr>
        <w:instrText>ḥ</w:instrText>
      </w:r>
      <w:r w:rsidRPr="00FB0005">
        <w:rPr>
          <w:rFonts w:ascii="Garamond" w:hAnsi="Garamond" w:cstheme="majorBidi"/>
          <w:lang w:bidi="ar-EG"/>
        </w:rPr>
        <w:instrText>adīth al-</w:instrText>
      </w:r>
      <w:r w:rsidRPr="00FB0005">
        <w:rPr>
          <w:rFonts w:ascii="Times New Roman" w:hAnsi="Times New Roman" w:cs="Times New Roman"/>
          <w:lang w:bidi="ar-EG"/>
        </w:rPr>
        <w:instrText>ḥ</w:instrText>
      </w:r>
      <w:r w:rsidRPr="00FB0005">
        <w:rPr>
          <w:rFonts w:ascii="Garamond" w:hAnsi="Garamond" w:cstheme="majorBidi"/>
          <w:lang w:bidi="ar-EG"/>
        </w:rPr>
        <w:instrText>ayy","title-short":"Mafhūm al-</w:instrText>
      </w:r>
      <w:r w:rsidRPr="00FB0005">
        <w:rPr>
          <w:rFonts w:ascii="Times New Roman" w:hAnsi="Times New Roman" w:cs="Times New Roman"/>
          <w:lang w:bidi="ar-EG"/>
        </w:rPr>
        <w:instrText>ṣ</w:instrText>
      </w:r>
      <w:r w:rsidRPr="00FB0005">
        <w:rPr>
          <w:rFonts w:ascii="Garamond" w:hAnsi="Garamond" w:cstheme="majorBidi"/>
          <w:lang w:bidi="ar-EG"/>
        </w:rPr>
        <w:instrText xml:space="preserve">alawāt ‘inda majmū‘at Joged Shalawat Mataram","volume":"21","author":[{"family":"Suryadilaga","given":"Muhammad Alfatih"}],"issued":{"date-parts":[["2014",12,30]]}},"locator":"551-552"}],"schema":"https://github.com/citation-style-language/schema/raw/master/csl-citation.json"} </w:instrText>
      </w:r>
      <w:r w:rsidRPr="00FB0005">
        <w:rPr>
          <w:rFonts w:ascii="Garamond" w:hAnsi="Garamond" w:cstheme="majorBidi"/>
          <w:lang w:bidi="ar-EG"/>
        </w:rPr>
        <w:fldChar w:fldCharType="separate"/>
      </w:r>
      <w:r w:rsidRPr="00FB0005">
        <w:rPr>
          <w:rFonts w:ascii="Garamond" w:hAnsi="Garamond" w:cstheme="majorBidi"/>
        </w:rPr>
        <w:t>Suryadilaga, 551–552.</w:t>
      </w:r>
      <w:r w:rsidRPr="00FB0005">
        <w:rPr>
          <w:rFonts w:ascii="Garamond" w:hAnsi="Garamond" w:cstheme="majorBidi"/>
          <w:lang w:bidi="ar-EG"/>
        </w:rPr>
        <w:fldChar w:fldCharType="end"/>
      </w:r>
    </w:p>
  </w:footnote>
  <w:footnote w:id="65">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{"citationID":"ZD7vsLkp","properties":{"formattedCitation":"Suryadilaga, 552.","plainCitation":"Suryadilaga, 552.","noteIndex":55},"citationItems":[{"id":1875,"uris":["http://zotero.org/users/local/n49v5LOV/items/JSPE2B6B"],"itemData":{"id":1875,"type":"article-journal","abstract":"This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Alfatih"}],"issued":{"date-parts":[["2014",12,30]]}},"locator":"552"}],"schema":"https://github.com/citation-style-language/schema/raw/master/csl-citation.json"}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Suryadilaga, 552.</w:t>
      </w:r>
      <w:r w:rsidRPr="00FB0005">
        <w:rPr>
          <w:rFonts w:ascii="Garamond" w:hAnsi="Garamond" w:cstheme="majorBidi"/>
        </w:rPr>
        <w:fldChar w:fldCharType="end"/>
      </w:r>
    </w:p>
  </w:footnote>
  <w:footnote w:id="66">
    <w:p w:rsidR="004F3629" w:rsidRPr="00DD3AA9" w:rsidRDefault="004F3629" w:rsidP="00DD3AA9">
      <w:pPr>
        <w:pStyle w:val="FootnoteText"/>
        <w:jc w:val="both"/>
        <w:rPr>
          <w:rFonts w:ascii="Garamond" w:hAnsi="Garamond" w:cstheme="majorBidi"/>
          <w:rtl/>
          <w:lang w:bidi="ar-EG"/>
        </w:rPr>
      </w:pPr>
      <w:r w:rsidRPr="00DD3AA9">
        <w:rPr>
          <w:rStyle w:val="FootnoteReference"/>
          <w:rFonts w:ascii="Garamond" w:hAnsi="Garamond"/>
        </w:rPr>
        <w:footnoteRef/>
      </w:r>
      <w:r w:rsidRPr="00DD3AA9">
        <w:rPr>
          <w:rFonts w:ascii="Garamond" w:hAnsi="Garamond"/>
        </w:rPr>
        <w:t xml:space="preserve"> Al-</w:t>
      </w:r>
      <w:proofErr w:type="spellStart"/>
      <w:r w:rsidRPr="00DD3AA9">
        <w:rPr>
          <w:rFonts w:ascii="Garamond" w:hAnsi="Garamond"/>
        </w:rPr>
        <w:t>Bazzar</w:t>
      </w:r>
      <w:proofErr w:type="spellEnd"/>
      <w:r w:rsidRPr="00DD3AA9">
        <w:rPr>
          <w:rFonts w:ascii="Garamond" w:hAnsi="Garamond"/>
        </w:rPr>
        <w:t xml:space="preserve">, </w:t>
      </w:r>
      <w:r>
        <w:rPr>
          <w:rFonts w:ascii="Garamond" w:hAnsi="Garamond"/>
          <w:i/>
          <w:iCs/>
        </w:rPr>
        <w:t>Al-</w:t>
      </w:r>
      <w:proofErr w:type="spellStart"/>
      <w:r w:rsidRPr="00DD3AA9">
        <w:rPr>
          <w:rFonts w:ascii="Garamond" w:hAnsi="Garamond"/>
          <w:i/>
          <w:iCs/>
        </w:rPr>
        <w:t>Musnad</w:t>
      </w:r>
      <w:proofErr w:type="spellEnd"/>
      <w:r w:rsidRPr="00DD3AA9">
        <w:rPr>
          <w:rFonts w:ascii="Garamond" w:hAnsi="Garamond"/>
        </w:rPr>
        <w:t xml:space="preserve">, </w:t>
      </w:r>
      <w:proofErr w:type="spellStart"/>
      <w:r w:rsidRPr="00DD3AA9">
        <w:rPr>
          <w:rFonts w:ascii="Garamond" w:hAnsi="Garamond"/>
        </w:rPr>
        <w:t>Musnad</w:t>
      </w:r>
      <w:proofErr w:type="spellEnd"/>
      <w:r w:rsidRPr="00DD3AA9">
        <w:rPr>
          <w:rFonts w:ascii="Garamond" w:hAnsi="Garamond"/>
        </w:rPr>
        <w:t xml:space="preserve"> Abu </w:t>
      </w:r>
      <w:proofErr w:type="spellStart"/>
      <w:r w:rsidRPr="00DD3AA9">
        <w:rPr>
          <w:rFonts w:ascii="Garamond" w:hAnsi="Garamond"/>
        </w:rPr>
        <w:t>Hamza</w:t>
      </w:r>
      <w:proofErr w:type="spellEnd"/>
      <w:r w:rsidRPr="00DD3AA9">
        <w:rPr>
          <w:rFonts w:ascii="Garamond" w:hAnsi="Garamond"/>
        </w:rPr>
        <w:t xml:space="preserve"> </w:t>
      </w:r>
      <w:proofErr w:type="spellStart"/>
      <w:r w:rsidRPr="00DD3AA9">
        <w:rPr>
          <w:rFonts w:ascii="Garamond" w:hAnsi="Garamond"/>
        </w:rPr>
        <w:t>Anas</w:t>
      </w:r>
      <w:proofErr w:type="spellEnd"/>
      <w:r w:rsidRPr="00DD3AA9">
        <w:rPr>
          <w:rFonts w:ascii="Garamond" w:hAnsi="Garamond"/>
        </w:rPr>
        <w:t xml:space="preserve"> bin Malik, vol. 15, p. 364, </w:t>
      </w:r>
      <w:r>
        <w:rPr>
          <w:rFonts w:ascii="Garamond" w:hAnsi="Garamond"/>
        </w:rPr>
        <w:t>n</w:t>
      </w:r>
      <w:r w:rsidRPr="00DD3AA9">
        <w:rPr>
          <w:rFonts w:ascii="Garamond" w:hAnsi="Garamond"/>
        </w:rPr>
        <w:t>o. 8949</w:t>
      </w:r>
    </w:p>
  </w:footnote>
  <w:footnote w:id="67">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{"citationID":"4c5HA7Kb","properties":{"formattedCitation":"Suryadilaga, \\uc0\\u8220{}Mafh\\uc0\\u363{}m Al-\\uc0\\u7778{}alaw\\uc0\\u257{}t \\uc0\\u8216{}inda Majm\\uc0\\u363{}\\uc0\\u8216{}at Joged Shalawat Mataram,\\uc0\\u8221{} 552.","plainCitation":"Suryadilaga, “Mafhūm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 552.","noteIndex":57},"citationItems":[{"id":1875,"uris":["http://zotero.org/users/local/n49v5LOV/items/JSPE2B6B"],"itemData":{"id":1875,"type":"article-journal","abstract":"This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Alfatih"}],"issued":{"date-parts":[["2014",12,30]]}},"locator":"552"}],"schema":"https://github.com/citation-style-language/schema/raw/master/csl-citation.json"}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Suryadilaga, “Mafhūm Al-</w:t>
      </w:r>
      <w:r w:rsidRPr="00FB0005">
        <w:rPr>
          <w:rFonts w:ascii="Times New Roman" w:hAnsi="Times New Roman" w:cs="Times New Roman"/>
          <w:szCs w:val="24"/>
        </w:rPr>
        <w:t>Ṣ</w:t>
      </w:r>
      <w:r w:rsidRPr="00FB0005">
        <w:rPr>
          <w:rFonts w:ascii="Garamond" w:hAnsi="Garamond" w:cstheme="majorBidi"/>
          <w:szCs w:val="24"/>
        </w:rPr>
        <w:t>alawāt ‘inda Majmū‘at Joged Shalawat Mataram,” 552.</w:t>
      </w:r>
      <w:r w:rsidRPr="00FB0005">
        <w:rPr>
          <w:rFonts w:ascii="Garamond" w:hAnsi="Garamond" w:cstheme="majorBidi"/>
        </w:rPr>
        <w:fldChar w:fldCharType="end"/>
      </w:r>
    </w:p>
  </w:footnote>
  <w:footnote w:id="68">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{"citationID":"wF97ELvN","properties":{"formattedCitation":"Suryadilaga, 556\\uc0\\u8211{}57.","plainCitation":"Suryadilaga, 556–57.","dontUpdate":true,"noteIndex":58},"citationItems":[{"id":1875,"uris":["http://zotero.org/users/local/n49v5LOV/items/JSPE2B6B"],"itemData":{"id":1875,"type":"article-journal","abstract":"This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Alfatih"}],"issued":{"date-parts":[["2014",12,30]]}},"locator":"556-557"}],"schema":"https://github.com/citation-style-language/schema/raw/master/csl-citation.json"}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Suryadilaga, 556–557.</w:t>
      </w:r>
      <w:r w:rsidRPr="00FB0005">
        <w:rPr>
          <w:rFonts w:ascii="Garamond" w:hAnsi="Garamond" w:cstheme="majorBidi"/>
        </w:rPr>
        <w:fldChar w:fldCharType="end"/>
      </w:r>
    </w:p>
  </w:footnote>
  <w:footnote w:id="69">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{"citationID":"oXZIjLsx","properties":{"formattedCitation":"Suryadilaga, 561.","plainCitation":"Suryadilaga, 561.","noteIndex":59},"citationItems":[{"id":1875,"uris":["http://zotero.org/users/local/n49v5LOV/items/JSPE2B6B"],"itemData":{"id":1875,"type":"article-journal","abstract":"This study examines the spiritual dance tradition of Joged Shalawat Mataram (JSM), a spiritual dance originating from the Mataram Sultanate of Yogyakarta. The focus of this research study is to determine the meaning of </w:instrText>
      </w:r>
      <w:r w:rsidRPr="00FB0005">
        <w:rPr>
          <w:rFonts w:ascii="Times New Roman" w:hAnsi="Times New Roman" w:cs="Times New Roman"/>
        </w:rPr>
        <w:instrText>ṣ</w:instrText>
      </w:r>
      <w:r w:rsidRPr="00FB0005">
        <w:rPr>
          <w:rFonts w:ascii="Garamond" w:hAnsi="Garamond" w:cstheme="majorBidi"/>
        </w:rPr>
        <w:instrText xml:space="preserve">alawah in the JSM community. The results of this study are as follows. Firstly, JSM is a socio-cultural phenomenon emanating out of religious traditions, classified as a spiritual dance or art of spiritual movements. Secondly, JSM is a phenomenon of ‘living’ hadith. In this sense, the JSM tradition is based on hadith that reflect some basic principles of the Prophet—those that command the reading of </w:instrText>
      </w:r>
      <w:r w:rsidRPr="00FB0005">
        <w:rPr>
          <w:rFonts w:ascii="Times New Roman" w:hAnsi="Times New Roman" w:cs="Times New Roman"/>
        </w:rPr>
        <w:instrText>ṣ</w:instrText>
      </w:r>
      <w:r w:rsidRPr="00FB0005">
        <w:rPr>
          <w:rFonts w:ascii="Garamond" w:hAnsi="Garamond" w:cstheme="majorBidi"/>
        </w:rPr>
        <w:instrText>alawah to the Prophet and those that command the following of the Prophet’s character. Thirdly, JSM is a phenomenon of symbols of religious culture. Fourthly, as a socio-religious movement JSM wants to convey the values of character education through Islamic art.DOI: 10.15408/sdi.v21i3.1220","container-title":"Studia Islamika","DOI":"10.15408/sdi.v21i3.1220","ISSN":"2355-6145","issue":"3","language":"en","license":"Copyright (c)","note":"number: 3","page":"535-578","source":"journal.uinjkt.ac.id","title":"Mafhūm al-</w:instrText>
      </w:r>
      <w:r w:rsidRPr="00FB0005">
        <w:rPr>
          <w:rFonts w:ascii="Times New Roman" w:hAnsi="Times New Roman" w:cs="Times New Roman"/>
        </w:rPr>
        <w:instrText>ṣ</w:instrText>
      </w:r>
      <w:r w:rsidRPr="00FB0005">
        <w:rPr>
          <w:rFonts w:ascii="Garamond" w:hAnsi="Garamond" w:cstheme="majorBidi"/>
        </w:rPr>
        <w:instrText>alawāt ‘inda majmū‘at Joged Shalawat Mataram: Dirāsah fī al-</w:instrText>
      </w:r>
      <w:r w:rsidRPr="00FB0005">
        <w:rPr>
          <w:rFonts w:ascii="Times New Roman" w:hAnsi="Times New Roman" w:cs="Times New Roman"/>
        </w:rPr>
        <w:instrText>ḥ</w:instrText>
      </w:r>
      <w:r w:rsidRPr="00FB0005">
        <w:rPr>
          <w:rFonts w:ascii="Garamond" w:hAnsi="Garamond" w:cstheme="majorBidi"/>
        </w:rPr>
        <w:instrText>adīth al-</w:instrText>
      </w:r>
      <w:r w:rsidRPr="00FB0005">
        <w:rPr>
          <w:rFonts w:ascii="Times New Roman" w:hAnsi="Times New Roman" w:cs="Times New Roman"/>
        </w:rPr>
        <w:instrText>ḥ</w:instrText>
      </w:r>
      <w:r w:rsidRPr="00FB0005">
        <w:rPr>
          <w:rFonts w:ascii="Garamond" w:hAnsi="Garamond" w:cstheme="majorBidi"/>
        </w:rPr>
        <w:instrText>ayy","title-short":"Mafhūm al-</w:instrText>
      </w:r>
      <w:r w:rsidRPr="00FB0005">
        <w:rPr>
          <w:rFonts w:ascii="Times New Roman" w:hAnsi="Times New Roman" w:cs="Times New Roman"/>
        </w:rPr>
        <w:instrText>ṣ</w:instrText>
      </w:r>
      <w:r w:rsidRPr="00FB0005">
        <w:rPr>
          <w:rFonts w:ascii="Garamond" w:hAnsi="Garamond" w:cstheme="majorBidi"/>
        </w:rPr>
        <w:instrText xml:space="preserve">alawāt ‘inda majmū‘at Joged Shalawat Mataram","volume":"21","author":[{"family":"Suryadilaga","given":"Muhammad Alfatih"}],"issued":{"date-parts":[["2014",12,30]]}},"locator":"561"}],"schema":"https://github.com/citation-style-language/schema/raw/master/csl-citation.json"}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Suryadilaga, 561.</w:t>
      </w:r>
      <w:r w:rsidRPr="00FB0005">
        <w:rPr>
          <w:rFonts w:ascii="Garamond" w:hAnsi="Garamond" w:cstheme="majorBidi"/>
        </w:rPr>
        <w:fldChar w:fldCharType="end"/>
      </w:r>
    </w:p>
  </w:footnote>
  <w:footnote w:id="70">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{"citationID":"dIneysvn","properties":{"formattedCitation":"Rio Kurniawan et al., \\uc0\\u8220{}Tradisi Seren Taun Di Kasepuhan Citorek Lebak Banten (Studi Living Hadis),\\uc0\\u8221{} {\\i{}Hamalatul Qur\\uc0\\u8217{}an\\uc0\\u8239{}: Jurnal Ilmu Ilmu Alqur\\uc0\\u8217{}an} 5, no. 2 (December 29, 2024): 841, https://doi.org/10.37985/hq.v5i2.378.","plainCitation":"Rio Kurniawan et al., “Tradisi Seren Taun Di Kasepuhan Citorek Lebak Banten (Studi Living Hadis),” Hamalatul Qur’an</w:instrText>
      </w:r>
      <w:r w:rsidRPr="00FB0005">
        <w:rPr>
          <w:rFonts w:ascii="Times New Roman" w:hAnsi="Times New Roman" w:cs="Times New Roman"/>
        </w:rPr>
        <w:instrText> </w:instrText>
      </w:r>
      <w:r w:rsidRPr="00FB0005">
        <w:rPr>
          <w:rFonts w:ascii="Garamond" w:hAnsi="Garamond" w:cstheme="majorBidi"/>
        </w:rPr>
        <w:instrText>: Jurnal Ilmu Ilmu Alqur</w:instrText>
      </w:r>
      <w:r w:rsidRPr="00FB0005">
        <w:rPr>
          <w:rFonts w:ascii="Garamond" w:hAnsi="Garamond" w:cs="Georgia"/>
        </w:rPr>
        <w:instrText>’</w:instrText>
      </w:r>
      <w:r w:rsidRPr="00FB0005">
        <w:rPr>
          <w:rFonts w:ascii="Garamond" w:hAnsi="Garamond" w:cstheme="majorBidi"/>
        </w:rPr>
        <w:instrText xml:space="preserve">an 5, no. 2 (December 29, 2024): 841, https://doi.org/10.37985/hq.v5i2.378.","noteIndex":60},"citationItems":[{"id":1802,"uris":["http://zotero.org/users/local/n49v5LOV/items/BGD76WHY"],"itemData":{"id":1802,"type":"article-journal","abstract":"The Seren Taun tradition in Citorek Village, Lebak Regency, Banten, is a ritual of gratitude for the rice harvest which is carried out every year. In the context of Indonesian agriculture, this tradition reflects the close relationship between society and nature as well as the values </w:instrText>
      </w:r>
      <w:r w:rsidRPr="00FB0005">
        <w:rPr>
          <w:rFonts w:ascii="Times New Roman" w:hAnsi="Times New Roman" w:cs="Times New Roman"/>
        </w:rPr>
        <w:instrText>​​</w:instrText>
      </w:r>
      <w:r w:rsidRPr="00FB0005">
        <w:rPr>
          <w:rFonts w:ascii="Garamond" w:hAnsi="Garamond" w:cstheme="majorBidi"/>
        </w:rPr>
        <w:instrText xml:space="preserve">of togetherness and religiosity. This study aims to explore the implementation and meaning of the Seren Taun tradition, as well as the social and cultural values </w:instrText>
      </w:r>
      <w:r w:rsidRPr="00FB0005">
        <w:rPr>
          <w:rFonts w:ascii="Times New Roman" w:hAnsi="Times New Roman" w:cs="Times New Roman"/>
        </w:rPr>
        <w:instrText>​​</w:instrText>
      </w:r>
      <w:r w:rsidRPr="00FB0005">
        <w:rPr>
          <w:rFonts w:ascii="Garamond" w:hAnsi="Garamond" w:cstheme="majorBidi"/>
        </w:rPr>
        <w:instrText xml:space="preserve">contained therein. With a qualitative approach through interviews and observations, this study explores how the Citorek community inherits this tradition and relates it to Islamic teachings. The results of the study show that Seren Taun is not only a ritual, but also a means of spiritual communication and strengthening the cultural identity of the community. This tradition is expected to continue to be preserved as a valuable cultural heritage in Indonesia.","container-title":"Hamalatul Qur'an : Jurnal Ilmu Ilmu Alqur'an","DOI":"10.37985/hq.v5i2.378","ISSN":"2722-8983","issue":"2","language":"en","license":"Copyright (c) 2024 Rio  Kurniawan, Ahmad Hizazih Al-Faqih, Muhammad Fadli Hanif, Badrudin Badrudin, Muhammad Alif","note":"number: 2","page":"840-851","source":"www.jogoroto.org","title":"Tradisi Seren Taun di Kasepuhan Citorek Lebak Banten (Studi Living Hadis)","volume":"5","author":[{"family":"Kurniawan","given":"Rio"},{"family":"Al-Faqih","given":"Ahmad Hizazih"},{"family":"Hanif","given":"Muhammad Fadli"},{"family":"Badrudin","given":"Badrudin"},{"family":"Alif","given":"Muhammad"}],"issued":{"date-parts":[["2024",12,29]]}},"locator":"841"}],"schema":"https://github.com/citation-style-language/schema/raw/master/csl-citation.json"}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Rio Kurniawan et al., “Tradisi Seren Taun Di Kasepuhan Citorek Lebak Banten (Studi Living Hadis),” </w:t>
      </w:r>
      <w:r w:rsidRPr="00FB0005">
        <w:rPr>
          <w:rFonts w:ascii="Garamond" w:hAnsi="Garamond" w:cstheme="majorBidi"/>
          <w:i/>
          <w:iCs/>
          <w:szCs w:val="24"/>
        </w:rPr>
        <w:t>Hamalatul Qur’an</w:t>
      </w:r>
      <w:r w:rsidRPr="00FB0005">
        <w:rPr>
          <w:rFonts w:ascii="Times New Roman" w:hAnsi="Times New Roman" w:cs="Times New Roman"/>
          <w:i/>
          <w:iCs/>
          <w:szCs w:val="24"/>
        </w:rPr>
        <w:t> </w:t>
      </w:r>
      <w:r w:rsidRPr="00FB0005">
        <w:rPr>
          <w:rFonts w:ascii="Garamond" w:hAnsi="Garamond" w:cstheme="majorBidi"/>
          <w:i/>
          <w:iCs/>
          <w:szCs w:val="24"/>
        </w:rPr>
        <w:t>: Jurnal Ilmu Ilmu Alqur’an</w:t>
      </w:r>
      <w:r w:rsidRPr="00FB0005">
        <w:rPr>
          <w:rFonts w:ascii="Garamond" w:hAnsi="Garamond" w:cstheme="majorBidi"/>
          <w:szCs w:val="24"/>
        </w:rPr>
        <w:t xml:space="preserve"> 5, no. 2 (December 29, 2024): 841, https://doi.org/10.37985/hq.v5i2.378.</w:t>
      </w:r>
      <w:r w:rsidRPr="00FB0005">
        <w:rPr>
          <w:rFonts w:ascii="Garamond" w:hAnsi="Garamond" w:cstheme="majorBidi"/>
        </w:rPr>
        <w:fldChar w:fldCharType="end"/>
      </w:r>
    </w:p>
  </w:footnote>
  <w:footnote w:id="71">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{"citationID":"XxjsD4Nw","properties":{"formattedCitation":"Riski Taufik Hidayah et al., \\uc0\\u8220{}The Seren Taun Experience: A Catalyst for Sustainable Cultural Tourism and Visitor Loyalty in West Java,\\uc0\\u8221{} {\\i{}Media Ekonomi Dan Manajemen} 40, no. 1 (January 18, 2025): 271, https://doi.org/10.56444/mem.v40i1.5606.","plainCitation":"Riski Taufik Hidayah et al., “The Seren Taun Experience: A Catalyst for Sustainable Cultural Tourism and Visitor Loyalty in West Java,” Media Ekonomi Dan Manajemen 40, no. 1 (January 18, 2025): 271, https://doi.org/10.56444/mem.v40i1.5606.","noteIndex":61},"citationItems":[{"id":2013,"uris":["http://zotero.org/users/local/n49v5LOV/items/RPUUPGV5"],"itemData":{"id":2013,"type":"article-journal","abstract":"This study examines the impact of engaging in the Seren Taun ritual at the Ciletuh-Palabuhanratu UNESCO Global Geopark (CPUGGp) on tourist loyalty, with an emphasis on Memorable Tourism Experiences (MTEs) within three indigenous communities: Ciptagelar, Sinaresmi, and Ciptamulya. This study investigates how MTEs influence tourist loyalty by exploring destination image, visitor engagement, and cultural interaction. A quantitative method was utilized involving 200 participants who attended Seren Taun, with data collected through Google Forms. The application of Structural Equation Modeling (SEM) through the PLS technique, utilizing SmartPLS 4.0, facilitated the assessment of reliability, validity, and correlation analysis. The results demonstrate that MTEs play a crucial role in improving destination image and fostering cultural interaction, yet they do not markedly boost visitor engagement. The influence of MTEs on loyalty intention is significant, underscoring the importance of enhancing destination image and cultural engagement to promote the growth of cultural tourism in Geoparks. The research highlights the significance of cultural interaction and MTEs in fostering tourist loyalty. Rituals such as Seren Taun enhance visitors' ties to the local culture and encourage sustainable tourism, positively impacting local economies.","container-title":"Media Ekonomi dan Manajemen","DOI":"10.56444/mem.v40i1.5606","ISSN":"2503-4464","issue":"1","language":"en","page":"263-288","source":"jurnal.untagsmg.ac.id","title":"The Seren Taun Experience: A Catalyst for Sustainable Cultural Tourism and Visitor Loyalty in West Java","title-short":"The Seren Taun Experience","volume":"40","author":[{"family":"Hidayah","given":"Riski Taufik"},{"family":"Bawa","given":"Simerjeet Singh"},{"family":"Gusni","given":"Gusni"},{"family":"Utami","given":"Eristy Minda"}],"issued":{"date-parts":[["2025",1,18]]}},"locator":"271"}],"schema":"https://github.com/citation-style-language/schema/raw/master/csl-citation.json"}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Riski Taufik Hidayah et al., “The Seren Taun Experience: A Catalyst for Sustainable Cultural Tourism and Visitor Loyalty in West Java,” </w:t>
      </w:r>
      <w:r w:rsidRPr="00FB0005">
        <w:rPr>
          <w:rFonts w:ascii="Garamond" w:hAnsi="Garamond" w:cstheme="majorBidi"/>
          <w:i/>
          <w:iCs/>
          <w:szCs w:val="24"/>
        </w:rPr>
        <w:t>Media Ekonomi Dan Manajemen</w:t>
      </w:r>
      <w:r w:rsidRPr="00FB0005">
        <w:rPr>
          <w:rFonts w:ascii="Garamond" w:hAnsi="Garamond" w:cstheme="majorBidi"/>
          <w:szCs w:val="24"/>
        </w:rPr>
        <w:t xml:space="preserve"> 40, no. 1 (January 18, 2025): 271, https://doi.org/10.56444/mem.v40i1.5606.</w:t>
      </w:r>
      <w:r w:rsidRPr="00FB0005">
        <w:rPr>
          <w:rFonts w:ascii="Garamond" w:hAnsi="Garamond" w:cstheme="majorBidi"/>
        </w:rPr>
        <w:fldChar w:fldCharType="end"/>
      </w:r>
    </w:p>
  </w:footnote>
  <w:footnote w:id="72">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{"citationID":"MMEs3bva","properties":{"formattedCitation":"\\uc0\\u8220{}Integration of Local Wisdom Values of Seren Taun Traditional Ceremony in Social Science Lesson as Learning Model of Ethnopedagogy in SMPN 1 Nagrak District of Nagrak Regency of Sukabumi,\\uc0\\u8221{} {\\i{}\\uc0\\u304{}lk\\uc0\\u246{}\\uc0\\u287{}retim Online} 20, no. 3 (January 1, 2021): 369, https://doi.org/10.17051/ilkonline.2021.03.35.","plainCitation":"“Integration of Local Wisdom Values of Seren Taun Traditional Ceremony in Social Science Lesson as Learning Model of Ethnopedagogy in SMPN 1 Nagrak District of Nagrak Regency of Sukabumi,” İlköğretim Online 20, no. 3 (January 1, 2021): 369, https://doi.org/10.17051/ilkonline.2021.03.35.","noteIndex":62},"citationItems":[{"id":2012,"uris":["http://zotero.org/users/local/n49v5LOV/items/G9MK8YZJ"],"itemData":{"id":2012,"type":"article-journal","abstract":"Integration of local wisdom values in social science lesson is one of the effort to strengthen national identity of young generations who have disappeared because of strong globalization. One of them is the integration of local wisdom values of Seren Taun traditional ceremony as a model of Ethnopedagogy. The approach of research uses qualitative approach with the case study method. The result of research showed: First, the form of local wisdom values of Seren Taun traditional ceremony found in the meaning of expressions and proverbs used by Kasepuhan Ciptagelar people is: (a) Ngajagi Tatali Paranti Karuhun (Religious Value), (b) Nincak Kana Tatanan (Compliance Value), (c) Nangtung di kariungan ngadeg di karamean (Mutual Aid Value), (d) Gunung luhur kayuan, lamping gawir awian, legok balongan, lebak kulahan, datar sawahan (Conservation Value of Natural Resources), (e) Saiketan Sabeungkeutan (Associations and Unions Values), (f) Kudu bisa ngigelan jaman tapi ulah kabawa ku jaman (Balance Value Between Tradition and Modernization). Second, the integration of local wisdom values in traditional ceremony of Seren Taun Kasepuhan Ciptagelar in social studies lesson by developing syllabus and preparing Learning Implementation Plans (RPP). Third, the implementation of social studies with the ethnopedagogy model is able to attract attention of students in understanding the values of local wisdom as the national identity. Ethnopedagogy models will be more effective if it is implemented with strategies within an innovative learning media. Actualization of learning that is oriented to instilling the values of local wisdom is often followed by playing activities so as to create active, creative, effective, and fun learning and can foster a love of national culture.","container-title":"İlköğretim Online","DOI":"10.17051/ilkonline.2021.03.35","ISSN":"13053515","issue":"3","journalAbbreviation":"ilkonline","language":"en","source":"DOI.org (Crossref)","title":"Integration of Local Wisdom Values of Seren Taun Traditional Ceremony in Social Science Lesson as Learning Model of Ethnopedagogy in SMPN 1 Nagrak District of Nagrak Regency of Sukabumi","URL":"http://ilkogretim-online.org/fulltext/218-1612768588.pdf?1614146586","volume":"20","accessed":{"date-parts":[["2025",1,27]]},"issued":{"date-parts":[["2021",1,1]]}},"locator":"369"}],"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“Integration of Local Wisdom Values of Seren Taun Traditional Ceremony in Social Science Lesson as Learning Model of Ethnopedagogy in SMPN 1 Nagrak District of Nagrak Regency of Sukabumi,” </w:t>
      </w:r>
      <w:r w:rsidRPr="00FB0005">
        <w:rPr>
          <w:rFonts w:ascii="Garamond" w:hAnsi="Garamond" w:cstheme="majorBidi"/>
          <w:i/>
          <w:iCs/>
          <w:szCs w:val="24"/>
        </w:rPr>
        <w:t>İlköğretim Online</w:t>
      </w:r>
      <w:r w:rsidRPr="00FB0005">
        <w:rPr>
          <w:rFonts w:ascii="Garamond" w:hAnsi="Garamond" w:cstheme="majorBidi"/>
          <w:szCs w:val="24"/>
        </w:rPr>
        <w:t xml:space="preserve"> 20, no. 3 (January 1, 2021): 369, https://doi.org/10.17051/ilkonline.2021.03.35.</w:t>
      </w:r>
      <w:r w:rsidRPr="00FB0005">
        <w:rPr>
          <w:rFonts w:ascii="Garamond" w:hAnsi="Garamond" w:cstheme="majorBidi"/>
        </w:rPr>
        <w:fldChar w:fldCharType="end"/>
      </w:r>
    </w:p>
  </w:footnote>
  <w:footnote w:id="73">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{"citationID":"05plaiWT","properties":{"formattedCitation":"Kurniawan et al., \\uc0\\u8220{}Tradisi Seren Taun Di Kasepuhan Citorek Lebak Banten (Studi Living Hadis),\\uc0\\u8221{} 841.","plainCitation":"Kurniawan et al., “Tradisi Seren Taun Di Kasepuhan Citorek Lebak Banten (Studi Living Hadis),” 841.","noteIndex":63},"citationItems":[{"id":1802,"uris":["http://zotero.org/users/local/n49v5LOV/items/BGD76WHY"],"itemData":{"id":1802,"type":"article-journal","abstract":"The Seren Taun tradition in Citorek Village, Lebak Regency, Banten, is a ritual of gratitude for the rice harvest which is carried out every year. In the context of Indonesian agriculture, this tradition reflects the close relationship between society and nature as well as the values </w:instrText>
      </w:r>
      <w:r w:rsidRPr="00FB0005">
        <w:rPr>
          <w:rFonts w:ascii="Times New Roman" w:hAnsi="Times New Roman" w:cs="Times New Roman"/>
        </w:rPr>
        <w:instrText>​​</w:instrText>
      </w:r>
      <w:r w:rsidRPr="00FB0005">
        <w:rPr>
          <w:rFonts w:ascii="Garamond" w:hAnsi="Garamond" w:cstheme="majorBidi"/>
        </w:rPr>
        <w:instrText xml:space="preserve">of togetherness and religiosity. This study aims to explore the implementation and meaning of the Seren Taun tradition, as well as the social and cultural values </w:instrText>
      </w:r>
      <w:r w:rsidRPr="00FB0005">
        <w:rPr>
          <w:rFonts w:ascii="Times New Roman" w:hAnsi="Times New Roman" w:cs="Times New Roman"/>
        </w:rPr>
        <w:instrText>​​</w:instrText>
      </w:r>
      <w:r w:rsidRPr="00FB0005">
        <w:rPr>
          <w:rFonts w:ascii="Garamond" w:hAnsi="Garamond" w:cstheme="majorBidi"/>
        </w:rPr>
        <w:instrText xml:space="preserve">contained therein. With a qualitative approach through interviews and observations, this study explores how the Citorek community inherits this tradition and relates it to Islamic teachings. The results of the study show that Seren Taun is not only a ritual, but also a means of spiritual communication and strengthening the cultural identity of the community. This tradition is expected to continue to be preserved as a valuable cultural heritage in Indonesia.","container-title":"Hamalatul Qur'an : Jurnal Ilmu Ilmu Alqur'an","DOI":"10.37985/hq.v5i2.378","ISSN":"2722-8983","issue":"2","language":"en","license":"Copyright (c) 2024 Rio  Kurniawan, Ahmad Hizazih Al-Faqih, Muhammad Fadli Hanif, Badrudin Badrudin, Muhammad Alif","note":"number: 2","page":"840-851","source":"www.jogoroto.org","title":"Tradisi Seren Taun di Kasepuhan Citorek Lebak Banten (Studi Living Hadis)","volume":"5","author":[{"family":"Kurniawan","given":"Rio"},{"family":"Al-Faqih","given":"Ahmad Hizazih"},{"family":"Hanif","given":"Muhammad Fadli"},{"family":"Badrudin","given":"Badrudin"},{"family":"Alif","given":"Muhammad"}],"issued":{"date-parts":[["2024",12,29]]}},"locator":"841"}],"schema":"https://github.com/citation-style-language/schema/raw/master/csl-citation.json"}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Kurniawan et al., “Tradisi Seren Taun Di Kasepuhan Citorek Lebak Banten (Studi Living Hadis),” 841.</w:t>
      </w:r>
      <w:r w:rsidRPr="00FB0005">
        <w:rPr>
          <w:rFonts w:ascii="Garamond" w:hAnsi="Garamond" w:cstheme="majorBidi"/>
        </w:rPr>
        <w:fldChar w:fldCharType="end"/>
      </w:r>
    </w:p>
  </w:footnote>
  <w:footnote w:id="74">
    <w:p w:rsidR="004F3629" w:rsidRPr="00F952FB" w:rsidRDefault="004F3629" w:rsidP="00F952FB">
      <w:pPr>
        <w:pStyle w:val="FootnoteText"/>
        <w:jc w:val="both"/>
        <w:rPr>
          <w:rFonts w:ascii="Garamond" w:hAnsi="Garamond" w:cs="Traditional Arabic"/>
          <w:rtl/>
          <w:lang w:bidi="ar-EG"/>
        </w:rPr>
      </w:pPr>
      <w:r w:rsidRPr="00F952FB">
        <w:rPr>
          <w:rStyle w:val="FootnoteReference"/>
          <w:rFonts w:ascii="Garamond" w:hAnsi="Garamond"/>
        </w:rPr>
        <w:footnoteRef/>
      </w:r>
      <w:r w:rsidRPr="00F952FB">
        <w:rPr>
          <w:rFonts w:ascii="Garamond" w:hAnsi="Garamond" w:cs="Traditional Arabic"/>
        </w:rPr>
        <w:t xml:space="preserve"> </w:t>
      </w:r>
      <w:r w:rsidRPr="00F952FB">
        <w:rPr>
          <w:rFonts w:ascii="Garamond" w:hAnsi="Garamond" w:cs="Traditional Arabic"/>
          <w:rtl/>
          <w:lang w:bidi="ar-EG"/>
        </w:rPr>
        <w:t xml:space="preserve"> </w:t>
      </w:r>
      <w:proofErr w:type="gramStart"/>
      <w:r w:rsidRPr="00F952FB">
        <w:rPr>
          <w:rFonts w:ascii="Garamond" w:hAnsi="Garamond" w:cs="Traditional Arabic"/>
          <w:lang w:bidi="ar-EG"/>
        </w:rPr>
        <w:t>Al-</w:t>
      </w:r>
      <w:proofErr w:type="spellStart"/>
      <w:r w:rsidRPr="00F952FB">
        <w:rPr>
          <w:rFonts w:ascii="Garamond" w:hAnsi="Garamond" w:cs="Traditional Arabic"/>
          <w:lang w:bidi="ar-EG"/>
        </w:rPr>
        <w:t>Bukhari</w:t>
      </w:r>
      <w:proofErr w:type="spellEnd"/>
      <w:r w:rsidRPr="00F952FB">
        <w:rPr>
          <w:rFonts w:ascii="Garamond" w:hAnsi="Garamond" w:cs="Traditional Arabic"/>
          <w:lang w:bidi="ar-EG"/>
        </w:rPr>
        <w:t xml:space="preserve">, </w:t>
      </w:r>
      <w:r w:rsidRPr="00F952FB">
        <w:rPr>
          <w:rFonts w:ascii="Garamond" w:hAnsi="Garamond" w:cs="Traditional Arabic"/>
          <w:i/>
          <w:iCs/>
          <w:lang w:bidi="ar-EG"/>
        </w:rPr>
        <w:t>Al-</w:t>
      </w:r>
      <w:proofErr w:type="spellStart"/>
      <w:r w:rsidRPr="00F952FB">
        <w:rPr>
          <w:rFonts w:ascii="Garamond" w:hAnsi="Garamond" w:cs="Traditional Arabic"/>
          <w:i/>
          <w:iCs/>
          <w:lang w:bidi="ar-EG"/>
        </w:rPr>
        <w:t>Jāmi'Al</w:t>
      </w:r>
      <w:proofErr w:type="spellEnd"/>
      <w:r w:rsidRPr="00F952FB">
        <w:rPr>
          <w:rFonts w:ascii="Garamond" w:hAnsi="Garamond" w:cs="Traditional Arabic"/>
          <w:i/>
          <w:iCs/>
          <w:lang w:bidi="ar-EG"/>
        </w:rPr>
        <w:t>-</w:t>
      </w:r>
      <w:proofErr w:type="spellStart"/>
      <w:r w:rsidRPr="00F952FB">
        <w:rPr>
          <w:rFonts w:ascii="Garamond" w:hAnsi="Garamond" w:cs="Traditional Arabic"/>
          <w:i/>
          <w:iCs/>
          <w:lang w:bidi="ar-EG"/>
        </w:rPr>
        <w:t>Musnad</w:t>
      </w:r>
      <w:proofErr w:type="spellEnd"/>
      <w:r w:rsidRPr="00F952FB">
        <w:rPr>
          <w:rFonts w:ascii="Garamond" w:hAnsi="Garamond" w:cs="Traditional Arabic"/>
          <w:i/>
          <w:iCs/>
          <w:lang w:bidi="ar-EG"/>
        </w:rPr>
        <w:t xml:space="preserve"> Al-</w:t>
      </w:r>
      <w:proofErr w:type="spellStart"/>
      <w:r w:rsidRPr="00F952FB">
        <w:rPr>
          <w:rFonts w:ascii="Garamond" w:hAnsi="Garamond" w:cs="Traditional Arabic"/>
          <w:i/>
          <w:iCs/>
          <w:lang w:bidi="ar-EG"/>
        </w:rPr>
        <w:t>Sahih</w:t>
      </w:r>
      <w:proofErr w:type="spellEnd"/>
      <w:r w:rsidRPr="00F952FB">
        <w:rPr>
          <w:rFonts w:ascii="Garamond" w:hAnsi="Garamond" w:cs="Traditional Arabic"/>
          <w:i/>
          <w:iCs/>
          <w:lang w:bidi="ar-EG"/>
        </w:rPr>
        <w:t xml:space="preserve"> al-</w:t>
      </w:r>
      <w:proofErr w:type="spellStart"/>
      <w:r w:rsidRPr="00F952FB">
        <w:rPr>
          <w:rFonts w:ascii="Garamond" w:hAnsi="Garamond" w:cs="Traditional Arabic"/>
          <w:i/>
          <w:iCs/>
          <w:lang w:bidi="ar-EG"/>
        </w:rPr>
        <w:t>Mukhtashar</w:t>
      </w:r>
      <w:proofErr w:type="spellEnd"/>
      <w:r w:rsidRPr="00F952FB">
        <w:rPr>
          <w:rFonts w:ascii="Garamond" w:hAnsi="Garamond" w:cs="Traditional Arabic"/>
          <w:lang w:bidi="ar-EG"/>
        </w:rPr>
        <w:t xml:space="preserve">, </w:t>
      </w:r>
      <w:r>
        <w:rPr>
          <w:rFonts w:ascii="Garamond" w:hAnsi="Garamond" w:cs="Traditional Arabic"/>
          <w:lang w:bidi="ar-EG"/>
        </w:rPr>
        <w:t>vol.</w:t>
      </w:r>
      <w:r w:rsidRPr="00F952FB">
        <w:rPr>
          <w:rFonts w:ascii="Garamond" w:hAnsi="Garamond" w:cs="Traditional Arabic"/>
          <w:lang w:bidi="ar-EG"/>
        </w:rPr>
        <w:t xml:space="preserve">3, p. 56, </w:t>
      </w:r>
      <w:r>
        <w:rPr>
          <w:rFonts w:ascii="Garamond" w:hAnsi="Garamond" w:cs="Traditional Arabic"/>
          <w:lang w:bidi="ar-EG"/>
        </w:rPr>
        <w:t>n</w:t>
      </w:r>
      <w:r w:rsidRPr="00F952FB">
        <w:rPr>
          <w:rFonts w:ascii="Garamond" w:hAnsi="Garamond" w:cs="Traditional Arabic"/>
          <w:lang w:bidi="ar-EG"/>
        </w:rPr>
        <w:t>o. 2067.</w:t>
      </w:r>
      <w:proofErr w:type="gramEnd"/>
    </w:p>
  </w:footnote>
  <w:footnote w:id="75">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{"citationID":"lEnoN1IT","properties":{"formattedCitation":"Kurniawan et al., \\uc0\\u8220{}Tradisi Seren Taun Di Kasepuhan Citorek Lebak Banten (Studi Living Hadis),\\uc0\\u8221{} 848.","plainCitation":"Kurniawan et al., “Tradisi Seren Taun Di Kasepuhan Citorek Lebak Banten (Studi Living Hadis),” 848.","noteIndex":65},"citationItems":[{"id":1802,"uris":["http://zotero.org/users/local/n49v5LOV/items/BGD76WHY"],"itemData":{"id":1802,"type":"article-journal","abstract":"The Seren Taun tradition in Citorek Village, Lebak Regency, Banten, is a ritual of gratitude for the rice harvest which is carried out every year. In the context of Indonesian agriculture, this tradition reflects the close relationship between society and nature as well as the values </w:instrText>
      </w:r>
      <w:r w:rsidRPr="00FB0005">
        <w:rPr>
          <w:rFonts w:ascii="Times New Roman" w:hAnsi="Times New Roman" w:cs="Times New Roman"/>
        </w:rPr>
        <w:instrText>​​</w:instrText>
      </w:r>
      <w:r w:rsidRPr="00FB0005">
        <w:rPr>
          <w:rFonts w:ascii="Garamond" w:hAnsi="Garamond" w:cstheme="majorBidi"/>
        </w:rPr>
        <w:instrText xml:space="preserve">of togetherness and religiosity. This study aims to explore the implementation and meaning of the Seren Taun tradition, as well as the social and cultural values </w:instrText>
      </w:r>
      <w:r w:rsidRPr="00FB0005">
        <w:rPr>
          <w:rFonts w:ascii="Times New Roman" w:hAnsi="Times New Roman" w:cs="Times New Roman"/>
        </w:rPr>
        <w:instrText>​​</w:instrText>
      </w:r>
      <w:r w:rsidRPr="00FB0005">
        <w:rPr>
          <w:rFonts w:ascii="Garamond" w:hAnsi="Garamond" w:cstheme="majorBidi"/>
        </w:rPr>
        <w:instrText xml:space="preserve">contained therein. With a qualitative approach through interviews and observations, this study explores how the Citorek community inherits this tradition and relates it to Islamic teachings. The results of the study show that Seren Taun is not only a ritual, but also a means of spiritual communication and strengthening the cultural identity of the community. This tradition is expected to continue to be preserved as a valuable cultural heritage in Indonesia.","container-title":"Hamalatul Qur'an : Jurnal Ilmu Ilmu Alqur'an","DOI":"10.37985/hq.v5i2.378","ISSN":"2722-8983","issue":"2","language":"en","license":"Copyright (c) 2024 Rio  Kurniawan, Ahmad Hizazih Al-Faqih, Muhammad Fadli Hanif, Badrudin Badrudin, Muhammad Alif","note":"number: 2","page":"840-851","source":"www.jogoroto.org","title":"Tradisi Seren Taun di Kasepuhan Citorek Lebak Banten (Studi Living Hadis)","volume":"5","author":[{"family":"Kurniawan","given":"Rio"},{"family":"Al-Faqih","given":"Ahmad Hizazih"},{"family":"Hanif","given":"Muhammad Fadli"},{"family":"Badrudin","given":"Badrudin"},{"family":"Alif","given":"Muhammad"}],"issued":{"date-parts":[["2024",12,29]]}},"locator":"848"}],"schema":"https://github.com/citation-style-language/schema/raw/master/csl-citation.json"}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Kurniawan et al., “Tradisi Seren Taun Di Kasepuhan Citorek Lebak Banten (Studi Living Hadis),” 848.</w:t>
      </w:r>
      <w:r w:rsidRPr="00FB0005">
        <w:rPr>
          <w:rFonts w:ascii="Garamond" w:hAnsi="Garamond" w:cstheme="majorBidi"/>
        </w:rPr>
        <w:fldChar w:fldCharType="end"/>
      </w:r>
    </w:p>
  </w:footnote>
  <w:footnote w:id="76">
    <w:p w:rsidR="004F3629" w:rsidRPr="00E95940" w:rsidRDefault="004F3629" w:rsidP="00E95940">
      <w:pPr>
        <w:pStyle w:val="FootnoteText"/>
        <w:jc w:val="both"/>
        <w:rPr>
          <w:rFonts w:ascii="Garamond" w:hAnsi="Garamond" w:cs="Traditional Arabic"/>
          <w:rtl/>
          <w:lang w:bidi="ar-EG"/>
        </w:rPr>
      </w:pPr>
      <w:r w:rsidRPr="00E95940">
        <w:rPr>
          <w:rStyle w:val="FootnoteReference"/>
          <w:rFonts w:ascii="Garamond" w:hAnsi="Garamond"/>
        </w:rPr>
        <w:footnoteRef/>
      </w:r>
      <w:r w:rsidRPr="00E95940">
        <w:rPr>
          <w:rFonts w:ascii="Garamond" w:hAnsi="Garamond" w:cs="Traditional Arabic"/>
        </w:rPr>
        <w:t xml:space="preserve"> </w:t>
      </w:r>
      <w:r w:rsidRPr="00E95940">
        <w:rPr>
          <w:rFonts w:ascii="Garamond" w:hAnsi="Garamond" w:cs="Traditional Arabic"/>
          <w:rtl/>
          <w:lang w:bidi="ar-EG"/>
        </w:rPr>
        <w:t xml:space="preserve"> </w:t>
      </w:r>
      <w:r>
        <w:rPr>
          <w:rFonts w:ascii="Garamond" w:hAnsi="Garamond" w:cs="Traditional Arabic"/>
          <w:lang w:bidi="ar-EG"/>
        </w:rPr>
        <w:t xml:space="preserve">Muslim, </w:t>
      </w:r>
      <w:r w:rsidRPr="00E95940">
        <w:rPr>
          <w:rFonts w:ascii="Garamond" w:hAnsi="Garamond" w:cs="Traditional Arabic"/>
          <w:i/>
          <w:iCs/>
          <w:lang w:bidi="ar-EG"/>
        </w:rPr>
        <w:t>Al-</w:t>
      </w:r>
      <w:proofErr w:type="spellStart"/>
      <w:r w:rsidRPr="00E95940">
        <w:rPr>
          <w:rFonts w:ascii="Garamond" w:hAnsi="Garamond" w:cs="Traditional Arabic"/>
          <w:i/>
          <w:iCs/>
          <w:lang w:bidi="ar-EG"/>
        </w:rPr>
        <w:t>Musnad</w:t>
      </w:r>
      <w:proofErr w:type="spellEnd"/>
      <w:r w:rsidRPr="00E95940">
        <w:rPr>
          <w:rFonts w:ascii="Garamond" w:hAnsi="Garamond" w:cs="Traditional Arabic"/>
          <w:i/>
          <w:iCs/>
          <w:lang w:bidi="ar-EG"/>
        </w:rPr>
        <w:t xml:space="preserve"> Al-</w:t>
      </w:r>
      <w:proofErr w:type="spellStart"/>
      <w:r w:rsidRPr="00E95940">
        <w:rPr>
          <w:rFonts w:ascii="Garamond" w:hAnsi="Garamond" w:cs="Traditional Arabic"/>
          <w:i/>
          <w:iCs/>
          <w:lang w:bidi="ar-EG"/>
        </w:rPr>
        <w:t>Shahih</w:t>
      </w:r>
      <w:proofErr w:type="spellEnd"/>
      <w:r w:rsidRPr="00E95940">
        <w:rPr>
          <w:rFonts w:ascii="Garamond" w:hAnsi="Garamond" w:cs="Traditional Arabic"/>
          <w:lang w:bidi="ar-EG"/>
        </w:rPr>
        <w:t xml:space="preserve">, </w:t>
      </w:r>
      <w:proofErr w:type="spellStart"/>
      <w:r>
        <w:rPr>
          <w:rFonts w:ascii="Garamond" w:hAnsi="Garamond" w:cs="Traditional Arabic"/>
          <w:lang w:bidi="ar-EG"/>
        </w:rPr>
        <w:t>vol</w:t>
      </w:r>
      <w:proofErr w:type="spellEnd"/>
      <w:r w:rsidRPr="00E95940">
        <w:rPr>
          <w:rFonts w:ascii="Garamond" w:hAnsi="Garamond" w:cs="Traditional Arabic"/>
          <w:lang w:bidi="ar-EG"/>
        </w:rPr>
        <w:t xml:space="preserve"> 4, p 2059, </w:t>
      </w:r>
      <w:r>
        <w:rPr>
          <w:rFonts w:ascii="Garamond" w:hAnsi="Garamond" w:cs="Traditional Arabic"/>
          <w:lang w:bidi="ar-EG"/>
        </w:rPr>
        <w:t>n</w:t>
      </w:r>
      <w:r w:rsidRPr="00E95940">
        <w:rPr>
          <w:rFonts w:ascii="Garamond" w:hAnsi="Garamond" w:cs="Traditional Arabic"/>
          <w:lang w:bidi="ar-EG"/>
        </w:rPr>
        <w:t>o. 15.</w:t>
      </w:r>
    </w:p>
  </w:footnote>
  <w:footnote w:id="77">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{"citationID":"20VMcfim","properties":{"formattedCitation":"Leonard Y. Andaya, \\uc0\\u8220{}The Search for the \\uc0\\u8216{}Origins\\uc0\\u8217{} of Melayu,\\uc0\\u8221{} {\\i{}Journal of Southeast Asian Studies} 32, no. 3 (2001): 323.","plainCitation":"Leonard Y. Andaya, “The Search for the ‘Origins’ of Melayu,” Journal of Southeast Asian Studies 32, no. 3 (2001): 323.","noteIndex":83},"citationItems":[{"id":2025,"uris":["http://zotero.org/users/local/n49v5LOV/items/HX8MMZBB"],"itemData":{"id":2025,"type":"article-journal","abstract":"Based on linguistic, archaeological, and historical evidence, this essay describes the environment that produced the culture associated with the 'Melayu', or the Malays. It also argues that Melayu ethnicity was never predetermined but was contested on both sides of the Straits of Melaka.","container-title":"Journal of Southeast Asian Studies","ISSN":"0022-4634","issue":"3","note":"publisher: [Cambridge University Press, Department of History, National University of Singapore]","page":"315-330","source":"JSTOR","title":"The Search for the 'Origins' of Melayu","volume":"32","author":[{"family":"Andaya","given":"Leonard Y."}],"issued":{"date-parts":[["2001"]]}},"locator":"323"}],"schema":"https://github.com/citation-style-language/schema/raw/master/csl-citation.json"}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Leonard Y. Andaya, “The Search for the ‘Origins’ of Melayu,” </w:t>
      </w:r>
      <w:r w:rsidRPr="00FB0005">
        <w:rPr>
          <w:rFonts w:ascii="Garamond" w:hAnsi="Garamond" w:cstheme="majorBidi"/>
          <w:i/>
          <w:iCs/>
          <w:szCs w:val="24"/>
        </w:rPr>
        <w:t>Journal of Southeast Asian Studies</w:t>
      </w:r>
      <w:r w:rsidRPr="00FB0005">
        <w:rPr>
          <w:rFonts w:ascii="Garamond" w:hAnsi="Garamond" w:cstheme="majorBidi"/>
          <w:szCs w:val="24"/>
        </w:rPr>
        <w:t xml:space="preserve"> 32, no. 3 (2001): 323.</w:t>
      </w:r>
      <w:r w:rsidRPr="00FB0005">
        <w:rPr>
          <w:rFonts w:ascii="Garamond" w:hAnsi="Garamond" w:cstheme="majorBidi"/>
        </w:rPr>
        <w:fldChar w:fldCharType="end"/>
      </w:r>
    </w:p>
  </w:footnote>
  <w:footnote w:id="78">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{"citationID":"J1Qmxr8L","properties":{"formattedCitation":"Taufik Abdullah, \\uc0\\u8220{}Adat and Islam: An Examination of Conflict in Minangkabau,\\uc0\\u8221{} {\\i{}Indonesia}, no. 2 (1966): 6, https://doi.org/10.2307/3350753.","plainCitation":"Taufik Abdullah, “Adat and Islam: An Examination of Conflict in Minangkabau,” Indonesia, no. 2 (1966): 6, https://doi.org/10.2307/3350753.","noteIndex":84},"citationItems":[{"id":2029,"uris":["http://zotero.org/users/local/n49v5LOV/items/L24KFWUT"],"itemData":{"id":2029,"type":"article-journal","container-title":"Indonesia","DOI":"10.2307/3350753","ISSN":"0019-7289","issue":"2","note":"publisher: Southeast Asia Program Publications at Cornell University","page":"1-24","source":"JSTOR","title":"Adat and Islam: An Examination of Conflict in Minangkabau","title-short":"Adat and Islam","author":[{"family":"Abdullah","given":"Taufik"}],"issued":{"date-parts":[["1966"]]}},"locator":"6"}],"schema":"https://github.com/citation-style-language/schema/raw/master/csl-citation.json"}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Taufik Abdullah, “Adat and Islam: An Examination of Conflict in Minangkabau,” </w:t>
      </w:r>
      <w:r w:rsidRPr="00FB0005">
        <w:rPr>
          <w:rFonts w:ascii="Garamond" w:hAnsi="Garamond" w:cstheme="majorBidi"/>
          <w:i/>
          <w:iCs/>
          <w:szCs w:val="24"/>
        </w:rPr>
        <w:t>Indonesia</w:t>
      </w:r>
      <w:r w:rsidRPr="00FB0005">
        <w:rPr>
          <w:rFonts w:ascii="Garamond" w:hAnsi="Garamond" w:cstheme="majorBidi"/>
          <w:szCs w:val="24"/>
        </w:rPr>
        <w:t>, no. 2 (1966): 6, https://doi.org/10.2307/3350753.</w:t>
      </w:r>
      <w:r w:rsidRPr="00FB0005">
        <w:rPr>
          <w:rFonts w:ascii="Garamond" w:hAnsi="Garamond" w:cstheme="majorBidi"/>
        </w:rPr>
        <w:fldChar w:fldCharType="end"/>
      </w:r>
    </w:p>
  </w:footnote>
  <w:footnote w:id="79">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{"citationID":"dFcSlfEb","properties":{"formattedCitation":"Abdul Karim Amrullah, {\\i{}Perkembangan Kebatinan Di Indonesia}, 16\\uc0\\u8211{}17.","plainCitation":"Abdul Karim Amrullah, Perkembangan Kebatinan Di Indonesia, 16–17.","noteIndex":85},"citationItems":[{"id":2024,"uris":["http://zotero.org/users/local/n49v5LOV/items/A8EMRDX2"],"itemData":{"id":2024,"type":"book","event-place":"Jakarta","publisher":"Bulan Bintang","publisher-place":"Jakarta","title":"Perkembangan Kebatinan di Indonesia","author":[{"family":"Abdul Karim Amrullah","given":"Abdul Malik"}],"issued":{"date-parts":[["1971"]]}},"locator":"16-17"}],"schema":"https://github.com/citation-style-language/schema/raw/master/csl-citation.json"}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Abdul Karim Amrullah, </w:t>
      </w:r>
      <w:r w:rsidRPr="00FB0005">
        <w:rPr>
          <w:rFonts w:ascii="Garamond" w:hAnsi="Garamond" w:cstheme="majorBidi"/>
          <w:i/>
          <w:iCs/>
          <w:szCs w:val="24"/>
        </w:rPr>
        <w:t>Perkembangan Kebatinan Di Indonesia</w:t>
      </w:r>
      <w:r w:rsidRPr="00FB0005">
        <w:rPr>
          <w:rFonts w:ascii="Garamond" w:hAnsi="Garamond" w:cstheme="majorBidi"/>
          <w:szCs w:val="24"/>
        </w:rPr>
        <w:t>, 16–17.</w:t>
      </w:r>
      <w:r w:rsidRPr="00FB0005">
        <w:rPr>
          <w:rFonts w:ascii="Garamond" w:hAnsi="Garamond" w:cstheme="majorBidi"/>
        </w:rPr>
        <w:fldChar w:fldCharType="end"/>
      </w:r>
    </w:p>
  </w:footnote>
  <w:footnote w:id="80">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{"citationID":"EHQTHh2T","properties":{"formattedCitation":"Abdul Karim Amrullah, 17.","plainCitation":"Abdul Karim Amrullah, 17.","noteIndex":86},"citationItems":[{"id":2024,"uris":["http://zotero.org/users/local/n49v5LOV/items/A8EMRDX2"],"itemData":{"id":2024,"type":"book","event-place":"Jakarta","publisher":"Bulan Bintang","publisher-place":"Jakarta","title":"Perkembangan Kebatinan di Indonesia","author":[{"family":"Abdul Karim Amrullah","given":"Abdul Malik"}],"issued":{"date-parts":[["1971"]]}},"locator":"17"}],"schema":"https://github.com/citation-style-language/schema/raw/master/csl-citation.json"}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Abdul Karim Amrullah, 17.</w:t>
      </w:r>
      <w:r w:rsidRPr="00FB0005">
        <w:rPr>
          <w:rFonts w:ascii="Garamond" w:hAnsi="Garamond" w:cstheme="majorBidi"/>
        </w:rPr>
        <w:fldChar w:fldCharType="end"/>
      </w:r>
    </w:p>
  </w:footnote>
  <w:footnote w:id="81">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{"citationID":"ZByVPtIG","properties":{"formattedCitation":"I. N. Soebagijo, \\uc0\\u8220{}Nyuwun Pamit Kyai,\\uc0\\u8221{} {\\i{}Brill}, 1945, 40.","plainCitation":"I. N. Soebagijo, “Nyuwun Pamit Kyai,” Brill, 1945, 40.","noteIndex":87},"citationItems":[{"id":2034,"uris":["http://zotero.org/users/local/n49v5LOV/items/G9WTBZRH"],"itemData":{"id":2034,"type":"article-journal","container-title":"Brill","language":"jw","source":"Zotero","title":"Nyuwun Pamit Kyai","author":[{"family":"Soebagijo","given":"I. N."}],"issued":{"date-parts":[["1945"]]}},"locator":"40"}],"schema":"https://github.com/citation-style-language/schema/raw/master/csl-citation.json"}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I. N. Soebagijo, “Nyuwun Pamit Kyai,” </w:t>
      </w:r>
      <w:r w:rsidRPr="00FB0005">
        <w:rPr>
          <w:rFonts w:ascii="Garamond" w:hAnsi="Garamond" w:cstheme="majorBidi"/>
          <w:i/>
          <w:iCs/>
          <w:szCs w:val="24"/>
        </w:rPr>
        <w:t>Brill</w:t>
      </w:r>
      <w:r w:rsidRPr="00FB0005">
        <w:rPr>
          <w:rFonts w:ascii="Garamond" w:hAnsi="Garamond" w:cstheme="majorBidi"/>
          <w:szCs w:val="24"/>
        </w:rPr>
        <w:t>, 1945, 40.</w:t>
      </w:r>
      <w:r w:rsidRPr="00FB0005">
        <w:rPr>
          <w:rFonts w:ascii="Garamond" w:hAnsi="Garamond" w:cstheme="majorBidi"/>
        </w:rPr>
        <w:fldChar w:fldCharType="end"/>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{"citationID":"szJI19G9","properties":{"formattedCitation":"A. G. Muhaimin, \\uc0\\u8220{}Belief System,\\uc0\\u8221{} in {\\i{}The Islamic Traditions of Cirebon}, Ibadat and Adat Among Javanese Muslims (ANU Press, 2006), 29\\uc0\\u8211{}31, https://www.jstor.org/stable/j.ctt2jbkqk.8.","plainCitation":"A. G. Muhaimin, “Belief System,” in The Islamic Traditions of Cirebon, Ibadat and Adat Among Javanese Muslims (ANU Press, 2006), 29–31, https://www.jstor.org/stable/j.ctt2jbkqk.8.","dontUpdate":true,"noteIndex":87},"citationItems":[{"id":2031,"uris":["http://zotero.org/users/local/n49v5LOV/items/GCK23D2R"],"itemData":{"id":2031,"type":"chapter","collection-title":"Ibadat and Adat Among Javanese Muslims","container-title":"The Islamic Traditions of Cirebon","ISBN":"978-1-920942-30-4","page":"29-52","publisher":"ANU Press","source":"JSTOR","title":"Belief System","URL":"https://www.jstor.org/stable/j.ctt2jbkqk.8","author":[{"family":"Muhaimin","given":"A. G."}],"accessed":{"date-parts":[["2025",2,1]]},"issued":{"date-parts":[["2006"]]}},"locator":"29-31"}],"schema":"https://github.com/citation-style-language/schema/raw/master/csl-citation.json"}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A. G. Muhaimin, “Belief System,” in </w:t>
      </w:r>
      <w:r w:rsidRPr="00FB0005">
        <w:rPr>
          <w:rFonts w:ascii="Garamond" w:hAnsi="Garamond" w:cstheme="majorBidi"/>
          <w:i/>
          <w:iCs/>
          <w:szCs w:val="24"/>
        </w:rPr>
        <w:t>The Islamic Traditions of Cirebon</w:t>
      </w:r>
      <w:r w:rsidRPr="00FB0005">
        <w:rPr>
          <w:rFonts w:ascii="Garamond" w:hAnsi="Garamond" w:cstheme="majorBidi"/>
          <w:szCs w:val="24"/>
        </w:rPr>
        <w:t>, Ibadat and Adat Among Javanese Muslims (ANU Press, 2006), 29–31.</w:t>
      </w:r>
      <w:r w:rsidRPr="00FB0005">
        <w:rPr>
          <w:rFonts w:ascii="Garamond" w:hAnsi="Garamond" w:cstheme="majorBidi"/>
        </w:rPr>
        <w:fldChar w:fldCharType="end"/>
      </w:r>
    </w:p>
  </w:footnote>
  <w:footnote w:id="82">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{"citationID":"7nUJYzJz","properties":{"formattedCitation":"Abdul Karim Amrullah, {\\i{}Perkembangan Kebatinan Di Indonesia}, 17.","plainCitation":"Abdul Karim Amrullah, Perkembangan Kebatinan Di Indonesia, 17.","noteIndex":88},"citationItems":[{"id":2024,"uris":["http://zotero.org/users/local/n49v5LOV/items/A8EMRDX2"],"itemData":{"id":2024,"type":"book","event-place":"Jakarta","publisher":"Bulan Bintang","publisher-place":"Jakarta","title":"Perkembangan Kebatinan di Indonesia","author":[{"family":"Abdul Karim Amrullah","given":"Abdul Malik"}],"issued":{"date-parts":[["1971"]]}},"locator":"17"}],"schema":"https://github.com/citation-style-language/schema/raw/master/csl-citation.json"}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Abdul Karim Amrullah, </w:t>
      </w:r>
      <w:r w:rsidRPr="00FB0005">
        <w:rPr>
          <w:rFonts w:ascii="Garamond" w:hAnsi="Garamond" w:cstheme="majorBidi"/>
          <w:i/>
          <w:iCs/>
          <w:szCs w:val="24"/>
        </w:rPr>
        <w:t>Perkembangan Kebatinan Di Indonesia</w:t>
      </w:r>
      <w:r w:rsidRPr="00FB0005">
        <w:rPr>
          <w:rFonts w:ascii="Garamond" w:hAnsi="Garamond" w:cstheme="majorBidi"/>
          <w:szCs w:val="24"/>
        </w:rPr>
        <w:t>, 17.</w:t>
      </w:r>
      <w:r w:rsidRPr="00FB0005">
        <w:rPr>
          <w:rFonts w:ascii="Garamond" w:hAnsi="Garamond" w:cstheme="majorBidi"/>
        </w:rPr>
        <w:fldChar w:fldCharType="end"/>
      </w:r>
    </w:p>
  </w:footnote>
  <w:footnote w:id="83">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{"citationID":"ayVVq2SQ","properties":{"formattedCitation":"Abdul Karim Amrullah, 20.","plainCitation":"Abdul Karim Amrullah, 20.","noteIndex":89},"citationItems":[{"id":2024,"uris":["http://zotero.org/users/local/n49v5LOV/items/A8EMRDX2"],"itemData":{"id":2024,"type":"book","event-place":"Jakarta","publisher":"Bulan Bintang","publisher-place":"Jakarta","title":"Perkembangan Kebatinan di Indonesia","author":[{"family":"Abdul Karim Amrullah","given":"Abdul Malik"}],"issued":{"date-parts":[["1971"]]}},"locator":"20"}],"schema":"https://github.com/citation-style-language/schema/raw/master/csl-citation.json"}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Abdul Karim Amrullah, 20.</w:t>
      </w:r>
      <w:r w:rsidRPr="00FB0005">
        <w:rPr>
          <w:rFonts w:ascii="Garamond" w:hAnsi="Garamond" w:cstheme="majorBidi"/>
        </w:rPr>
        <w:fldChar w:fldCharType="end"/>
      </w:r>
    </w:p>
  </w:footnote>
  <w:footnote w:id="84">
    <w:p w:rsidR="004F3629" w:rsidRPr="00FB0005" w:rsidRDefault="004F3629" w:rsidP="00FB14E1">
      <w:pPr>
        <w:pStyle w:val="FootnoteText"/>
        <w:jc w:val="both"/>
        <w:rPr>
          <w:rFonts w:ascii="Garamond" w:hAnsi="Garamond" w:cstheme="majorBidi"/>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{"citationID":"rUlzfEOh","properties":{"formattedCitation":"M. C. Ricklefs, \\uc0\\u8220{}Unity and Disunity in Javanese Political and Religious Thought of the Eighteenth Century,\\uc0\\u8221{} {\\i{}Modern Asian Studies} 26, no. 4 (1992): 664.","plainCitation":"M. C. Ricklefs, “Unity and Disunity in Javanese Political and Religious Thought of the Eighteenth Century,” Modern Asian Studies 26, no. 4 (1992): 664.","noteIndex":90},"citationItems":[{"id":2035,"uris":["http://zotero.org/users/local/n49v5LOV/items/34RCX2RA"],"itemData":{"id":2035,"type":"article-journal","container-title":"Modern Asian Studies","ISSN":"0026-749X","issue":"4","note":"publisher: Cambridge University Press","page":"663-678","source":"JSTOR","title":"Unity and Disunity in Javanese Political and Religious Thought of the Eighteenth Century","volume":"26","author":[{"family":"Ricklefs","given":"M. C."}],"issued":{"date-parts":[["1992"]]}},"locator":"664"}],"schema":"https://github.com/citation-style-language/schema/raw/master/csl-citation.json"}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M. C. Ricklefs, “Unity and Disunity in Javanese Political and Religious Thought of the Eighteenth Century,” </w:t>
      </w:r>
      <w:r w:rsidRPr="00FB0005">
        <w:rPr>
          <w:rFonts w:ascii="Garamond" w:hAnsi="Garamond" w:cstheme="majorBidi"/>
          <w:i/>
          <w:iCs/>
          <w:szCs w:val="24"/>
        </w:rPr>
        <w:t>Modern Asian Studies</w:t>
      </w:r>
      <w:r w:rsidRPr="00FB0005">
        <w:rPr>
          <w:rFonts w:ascii="Garamond" w:hAnsi="Garamond" w:cstheme="majorBidi"/>
          <w:szCs w:val="24"/>
        </w:rPr>
        <w:t xml:space="preserve"> 26, no. 4 (1992): 664.</w:t>
      </w:r>
      <w:r w:rsidRPr="00FB0005">
        <w:rPr>
          <w:rFonts w:ascii="Garamond" w:hAnsi="Garamond" w:cstheme="majorBidi"/>
        </w:rPr>
        <w:fldChar w:fldCharType="end"/>
      </w:r>
    </w:p>
  </w:footnote>
  <w:footnote w:id="85">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{"citationID":"dwk5tqjJ","properties":{"formattedCitation":"Geertz, {\\i{}The Religion of Java}, 5.","plainCitation":"Geertz, The Religion of Java, 5.","noteIndex":91},"citationItems":[{"id":2022,"uris":["http://zotero.org/users/local/n49v5LOV/items/3LY7JZEI"],"itemData":{"id":2022,"type":"book","event-place":"USA","publisher":"University of Chicago Press","publisher-place":"USA","title":"The Religion of Java","URL":"https://libgen.is/book/index.php?md5=A5E6D14788E7BB61E0D2B7B9B1979FD2","author":[{"family":"Geertz","given":"Clifford"}],"accessed":{"date-parts":[["2025",2,1]]},"issued":{"date-parts":[["1976"]]}},"locator":"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Geertz, </w:t>
      </w:r>
      <w:r w:rsidRPr="00FB0005">
        <w:rPr>
          <w:rFonts w:ascii="Garamond" w:hAnsi="Garamond" w:cstheme="majorBidi"/>
          <w:i/>
          <w:iCs/>
          <w:szCs w:val="24"/>
        </w:rPr>
        <w:t>The Religion of Java</w:t>
      </w:r>
      <w:r w:rsidRPr="00FB0005">
        <w:rPr>
          <w:rFonts w:ascii="Garamond" w:hAnsi="Garamond" w:cstheme="majorBidi"/>
          <w:szCs w:val="24"/>
        </w:rPr>
        <w:t>, 5.</w:t>
      </w:r>
      <w:r w:rsidRPr="00FB0005">
        <w:rPr>
          <w:rFonts w:ascii="Garamond" w:hAnsi="Garamond" w:cstheme="majorBidi"/>
        </w:rPr>
        <w:fldChar w:fldCharType="end"/>
      </w:r>
    </w:p>
  </w:footnote>
  <w:footnote w:id="86">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{"citationID":"PAFNGDs5","properties":{"formattedCitation":"Geertz, 5\\uc0\\u8211{}7.","plainCitation":"Geertz, 5–7.","noteIndex":92},"citationItems":[{"id":2022,"uris":["http://zotero.org/users/local/n49v5LOV/items/3LY7JZEI"],"itemData":{"id":2022,"type":"book","event-place":"USA","publisher":"University of Chicago Press","publisher-place":"USA","title":"The Religion of Java","URL":"https://libgen.is/book/index.php?md5=A5E6D14788E7BB61E0D2B7B9B1979FD2","author":[{"family":"Geertz","given":"Clifford"}],"accessed":{"date-parts":[["2025",2,1]]},"issued":{"date-parts":[["1976"]]}},"locator":"5-7"}],"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Geertz, 5–7.</w:t>
      </w:r>
      <w:r w:rsidRPr="00FB0005">
        <w:rPr>
          <w:rFonts w:ascii="Garamond" w:hAnsi="Garamond" w:cstheme="majorBidi"/>
        </w:rPr>
        <w:fldChar w:fldCharType="end"/>
      </w:r>
    </w:p>
  </w:footnote>
  <w:footnote w:id="87">
    <w:p w:rsidR="004F3629" w:rsidRPr="00FB0005" w:rsidRDefault="004F3629" w:rsidP="00FB14E1">
      <w:pPr>
        <w:pStyle w:val="FootnoteText"/>
        <w:jc w:val="both"/>
        <w:rPr>
          <w:rFonts w:ascii="Garamond" w:hAnsi="Garamond"/>
        </w:rPr>
      </w:pPr>
      <w:r w:rsidRPr="00FB0005">
        <w:rPr>
          <w:rStyle w:val="FootnoteReference"/>
          <w:rFonts w:ascii="Garamond" w:hAnsi="Garamond"/>
        </w:rPr>
        <w:footnoteRef/>
      </w:r>
      <w:r w:rsidRPr="00FB0005">
        <w:rPr>
          <w:rFonts w:ascii="Garamond" w:hAnsi="Garamond"/>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{"citationID":"4LJQzn9U","properties":{"formattedCitation":"C.C. Berg, {\\i{}Wither Islam?: Survey of Moden Movements in the Moslem Wor}, ed. H. A. R. Gibb (London: Victor Gollancz LTD, 1932), 255.","plainCitation":"C.C. Berg, Wither Islam?: Survey of Moden Movements in the Moslem Wor, ed. H. A. R. Gibb (London: Victor Gollancz LTD, 1932), 255.","noteIndex":93},"citationItems":[{"id":2040,"uris":["http://zotero.org/users/local/n49v5LOV/items/8XXHG3SV"],"itemData":{"id":2040,"type":"book","event-place":"London","publisher":"Victor Gollancz LTD","publisher-place":"London","title":"Wither Islam?: Survey of Moden Movements in the Moslem Wor","editor":[{"family":"","given":"H. A. R. Gibb"}],"author":[{"family":"Berg","given":"C.C."}],"issued":{"date-parts":[["1932"]]}},"locator":"255"}],"schema":"https://github.com/citation-style-language/schema/raw/master/csl-citation.json"}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C.C. Berg, </w:t>
      </w:r>
      <w:r w:rsidRPr="00FB0005">
        <w:rPr>
          <w:rFonts w:ascii="Garamond" w:hAnsi="Garamond" w:cstheme="majorBidi"/>
          <w:i/>
          <w:iCs/>
          <w:szCs w:val="24"/>
        </w:rPr>
        <w:t>Wither Islam?: Survey of Moden Movements in the Moslem Wor</w:t>
      </w:r>
      <w:r w:rsidRPr="00FB0005">
        <w:rPr>
          <w:rFonts w:ascii="Garamond" w:hAnsi="Garamond" w:cstheme="majorBidi"/>
          <w:szCs w:val="24"/>
        </w:rPr>
        <w:t>, ed. H. A. R. Gibb (London: Victor Gollancz LTD, 1932), 255.</w:t>
      </w:r>
      <w:r w:rsidRPr="00FB0005">
        <w:rPr>
          <w:rFonts w:ascii="Garamond" w:hAnsi="Garamond" w:cstheme="majorBidi"/>
        </w:rPr>
        <w:fldChar w:fldCharType="end"/>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{"citationID":"MCnbLBDk","properties":{"formattedCitation":"Geertz, {\\i{}The Religion of Java}.","plainCitation":"Geertz, The Religion of Java.","noteIndex":93},"citationItems":[{"id":2022,"uris":["http://zotero.org/users/local/n49v5LOV/items/3LY7JZEI"],"itemData":{"id":2022,"type":"book","event-place":"USA","publisher":"University of Chicago Press","publisher-place":"USA","title":"The Religion of Java","URL":"https://libgen.is/book/index.php?md5=A5E6D14788E7BB61E0D2B7B9B1979FD2","author":[{"family":"Geertz","given":"Clifford"}],"accessed":{"date-parts":[["2025",2,1]]},"issued":{"date-parts":[["1976"]]}}}],"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 xml:space="preserve">Geertz, </w:t>
      </w:r>
      <w:r w:rsidRPr="00FB0005">
        <w:rPr>
          <w:rFonts w:ascii="Garamond" w:hAnsi="Garamond" w:cstheme="majorBidi"/>
          <w:i/>
          <w:iCs/>
          <w:szCs w:val="24"/>
        </w:rPr>
        <w:t>The Religion of Java</w:t>
      </w:r>
      <w:r w:rsidRPr="00FB0005">
        <w:rPr>
          <w:rFonts w:ascii="Garamond" w:hAnsi="Garamond" w:cstheme="majorBidi"/>
          <w:szCs w:val="24"/>
        </w:rPr>
        <w:t>.</w:t>
      </w:r>
      <w:r w:rsidRPr="00FB0005">
        <w:rPr>
          <w:rFonts w:ascii="Garamond" w:hAnsi="Garamond" w:cstheme="majorBidi"/>
        </w:rPr>
        <w:fldChar w:fldCharType="end"/>
      </w:r>
    </w:p>
  </w:footnote>
  <w:footnote w:id="88">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{"citationID":"1WC8wuwE","properties":{"formattedCitation":"Metcalf, \\uc0\\u8220{}Living Had\\uc0\\u299{}th in the Tabl\\uc0\\u299{}gh\\uc0\\u299{} Jama`\\uc0\\u257{}t,\\uc0\\u8221{} 585.","plainCitation":"Metcalf, “Living Hadīth in the Tablīghī Jama`āt,” 585.","noteIndex":94},"citationItems":[{"id":1747,"uris":["http://zotero.org/users/local/n49v5LOV/items/XDD6J88L"],"itemData":{"id":1747,"type":"article-journal","abstract":"The symposium is impressive, not only for its findings but also for the variety of interpretative perspectives employed by the authors. With surprising ease the contributors have broken the often artificial boundaries of Asia's regions to provide meaningful comparisons from both South and Southeast Asia. Three of the articles refer to the work of BENEDICT ANDERSON, who has stressed the role of mass-produced vernacular literature in creating the political and social identities on which the postcolonial world is organized. The contributors generally stress that religion-often interpreted as a private matter in the postcolonial world-can increase its influence in the public sphere. In addition, the authors address the question of the differing ways a text can be composed and read, an issue that is arguably central to most current literary criticism and as well the major concern of some social scientists. BARBARA D. METCALF, in particular, stresses that the social uses of these vernacular Islamic texts reveal there is no wholly autonomous subaltern tradition, but rather that alternatives are always shaped by the particular dominant order in which they occur. Finally, the authors all address the gap that lies between universal principles and their particular expressions. The symposium organizer, JOHN BOWEN, suggests that studies of other universal traditions, such as Buddhism and Confucianism, will reveal new understanding of the alternative projects being proposed in their names for the postcolonial world.","container-title":"The Journal of Asian Studies","DOI":"10.2307/2058855","ISSN":"0021-9118","issue":"3","note":"publisher: Duke University Press","page":"584-608","source":"JSTOR","title":"Living Hadīth in the Tablīghī Jama`āt","volume":"52","author":[{"family":"Metcalf","given":"Barbara D."}],"issued":{"date-parts":[["1993"]]}},"locator":"585"}],"schema":"https://github.com/citation-style-language/schema/raw/master/csl-citation.json"}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szCs w:val="24"/>
        </w:rPr>
        <w:t>Metcalf, “Living Hadīth in the Tablīghī Jama`āt,” 585.</w:t>
      </w:r>
      <w:r w:rsidRPr="00FB0005">
        <w:rPr>
          <w:rFonts w:ascii="Garamond" w:hAnsi="Garamond" w:cstheme="majorBidi"/>
        </w:rPr>
        <w:fldChar w:fldCharType="end"/>
      </w:r>
    </w:p>
  </w:footnote>
  <w:footnote w:id="89">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{"citationID":"b40xbkbC","properties":{"formattedCitation":"Metcalf, 585.","plainCitation":"Metcalf, 585.","noteIndex":95},"citationItems":[{"id":1747,"uris":["http://zotero.org/users/local/n49v5LOV/items/XDD6J88L"],"itemData":{"id":1747,"type":"article-journal","abstract":"The symposium is impressive, not only for its findings but also for the variety of interpretative perspectives employed by the authors. With surprising ease the contributors have broken the often artificial boundaries of Asia's regions to provide meaningful comparisons from both South and Southeast Asia. Three of the articles refer to the work of BENEDICT ANDERSON, who has stressed the role of mass-produced vernacular literature in creating the political and social identities on which the postcolonial world is organized. The contributors generally stress that religion-often interpreted as a private matter in the postcolonial world-can increase its influence in the public sphere. In addition, the authors address the question of the differing ways a text can be composed and read, an issue that is arguably central to most current literary criticism and as well the major concern of some social scientists. BARBARA D. METCALF, in particular, stresses that the social uses of these vernacular Islamic texts reveal there is no wholly autonomous subaltern tradition, but rather that alternatives are always shaped by the particular dominant order in which they occur. Finally, the authors all address the gap that lies between universal principles and their particular expressions. The symposium organizer, JOHN BOWEN, suggests that studies of other universal traditions, such as Buddhism and Confucianism, will reveal new understanding of the alternative projects being proposed in their names for the postcolonial world.","container-title":"The Journal of Asian Studies","DOI":"10.2307/2058855","ISSN":"0021-9118","issue":"3","note":"publisher: Duke University Press","page":"584-608","source":"JSTOR","title":"Living Hadīth in the Tablīghī Jama`āt","volume":"52","author":[{"family":"Metcalf","given":"Barbara D."}],"issued":{"date-parts":[["1993"]]}},"locator":"585"}],"schema":"https://github.com/citation-style-language/schema/raw/master/csl-citation.json"}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Metcalf, 585.</w:t>
      </w:r>
      <w:r w:rsidRPr="00FB0005">
        <w:rPr>
          <w:rFonts w:ascii="Garamond" w:hAnsi="Garamond" w:cstheme="majorBidi"/>
        </w:rPr>
        <w:fldChar w:fldCharType="end"/>
      </w:r>
    </w:p>
  </w:footnote>
  <w:footnote w:id="90">
    <w:p w:rsidR="004F3629" w:rsidRPr="00FB0005" w:rsidRDefault="004F3629" w:rsidP="00FB14E1">
      <w:pPr>
        <w:pStyle w:val="FootnoteText"/>
        <w:jc w:val="both"/>
        <w:rPr>
          <w:rFonts w:ascii="Garamond" w:hAnsi="Garamond" w:cstheme="majorBidi"/>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{"citationID":"J24Gg750","properties":{"formattedCitation":"Joseph Schacht, {\\i{}The Origins of Muhammadan Jurisprudence}, 23.","plainCitation":"Joseph Schacht, The Origins of Muhammadan Jurisprudence, 23.","noteIndex":97},"citationItems":[{"id":843,"uris":["http://zotero.org/users/local/n49v5LOV/items/X7DXTVQI"],"itemData":{"id":843,"type":"book","abstract":"Schacht, Joseph - The Origins of Muhammadan Jurisprudence\nSchacht's book on the origins of Islamic law - sharia.","event-place":"Oxford","language":"eng","publisher":"The Clarendon","publisher-place":"Oxford","source":"Internet Archive","title":"The Origins of Muhammadan Jurisprudence","URL":"http://archive.org/details/schacht-joseph-the-origins-of-muhamaddan-jurisprudence","author":[{"literal":"Joseph Schacht"}],"accessed":{"date-parts":[["2024",12,5]]},"issued":{"date-parts":[["1967",1,1]]}},"locator":"23"}],"schema":"https://github.com/citation-style-language/schema/raw/master/csl-citation.json"} </w:instrText>
      </w:r>
      <w:r w:rsidRPr="00FB0005">
        <w:rPr>
          <w:rFonts w:ascii="Garamond" w:hAnsi="Garamond" w:cstheme="majorBidi"/>
        </w:rPr>
        <w:fldChar w:fldCharType="separate"/>
      </w:r>
      <w:r w:rsidRPr="00FB0005">
        <w:rPr>
          <w:rFonts w:ascii="Garamond" w:hAnsi="Garamond" w:cstheme="majorBidi"/>
        </w:rPr>
        <w:t xml:space="preserve">Joseph Schacht, </w:t>
      </w:r>
      <w:r w:rsidRPr="00FB0005">
        <w:rPr>
          <w:rFonts w:ascii="Garamond" w:hAnsi="Garamond" w:cstheme="majorBidi"/>
          <w:i/>
          <w:iCs/>
        </w:rPr>
        <w:t>The Origins of Muhammadan Jurisprudence</w:t>
      </w:r>
      <w:r w:rsidRPr="00FB0005">
        <w:rPr>
          <w:rFonts w:ascii="Garamond" w:hAnsi="Garamond" w:cstheme="majorBidi"/>
        </w:rPr>
        <w:t>, 23.</w:t>
      </w:r>
      <w:r w:rsidRPr="00FB0005">
        <w:rPr>
          <w:rFonts w:ascii="Garamond" w:hAnsi="Garamond" w:cstheme="majorBidi"/>
        </w:rPr>
        <w:fldChar w:fldCharType="end"/>
      </w:r>
    </w:p>
  </w:footnote>
  <w:footnote w:id="91">
    <w:p w:rsidR="004F3629" w:rsidRPr="00FB0005" w:rsidRDefault="004F3629" w:rsidP="00FB14E1">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cstheme="majorBidi"/>
        </w:rPr>
        <w:t xml:space="preserve"> </w:t>
      </w:r>
      <w:r w:rsidRPr="00FB0005">
        <w:rPr>
          <w:rFonts w:ascii="Garamond" w:hAnsi="Garamond" w:cstheme="majorBidi"/>
        </w:rPr>
        <w:fldChar w:fldCharType="begin"/>
      </w:r>
      <w:r w:rsidRPr="00FB0005">
        <w:rPr>
          <w:rFonts w:ascii="Garamond" w:hAnsi="Garamond" w:cstheme="majorBidi"/>
        </w:rPr>
        <w:instrText xml:space="preserve"> ADDIN ZOTERO_ITEM CSL_CITATION {"citationID":"gEfUZSax","properties":{"formattedCitation":"M. Mustafa al-Azami, {\\i{}On Schacht\\uc0\\u8217{}s Origins Of Muhammadan Jurisprudence} (Lahore: Suhail Academy, 2004), 61.","plainCitation":"M. Mustafa al-Azami, On Schacht’s Origins Of Muhammadan Jurisprudence (Lahore: Suhail Academy, 2004), 61.","noteIndex":98},"citationItems":[{"id":847,"uris":["http://zotero.org/users/local/n49v5LOV/items/MHP2PBHU"],"itemData":{"id":847,"type":"book","event-place":"Lahore","publisher":"Suhail Academy","publisher-place":"Lahore","title":"On Schacht's Origins Of Muhammadan Jurisprudence","author":[{"family":"Azami","given":"M. Mustafa","non-dropping-particle":"al-"}],"issued":{"date-parts":[["2004"]]}},"locator":"61"}],"schema":"https://github.com/citation-style-language/schema/raw/master/csl-citation.json"} </w:instrText>
      </w:r>
      <w:r w:rsidRPr="00FB0005">
        <w:rPr>
          <w:rFonts w:ascii="Garamond" w:hAnsi="Garamond" w:cstheme="majorBidi"/>
        </w:rPr>
        <w:fldChar w:fldCharType="separate"/>
      </w:r>
      <w:r w:rsidRPr="00FB0005">
        <w:rPr>
          <w:rFonts w:ascii="Garamond" w:hAnsi="Garamond" w:cs="Times New Roman"/>
          <w:szCs w:val="24"/>
        </w:rPr>
        <w:t xml:space="preserve">M. Mustafa al-Azami, </w:t>
      </w:r>
      <w:r w:rsidRPr="00FB0005">
        <w:rPr>
          <w:rFonts w:ascii="Garamond" w:hAnsi="Garamond" w:cs="Times New Roman"/>
          <w:i/>
          <w:iCs/>
          <w:szCs w:val="24"/>
        </w:rPr>
        <w:t>On Schacht’s Origins Of Muhammadan Jurisprudence</w:t>
      </w:r>
      <w:r w:rsidRPr="00FB0005">
        <w:rPr>
          <w:rFonts w:ascii="Garamond" w:hAnsi="Garamond" w:cs="Times New Roman"/>
          <w:szCs w:val="24"/>
        </w:rPr>
        <w:t xml:space="preserve"> (Lahore: Suhail Academy, 2004), 61.</w:t>
      </w:r>
      <w:r w:rsidRPr="00FB0005">
        <w:rPr>
          <w:rFonts w:ascii="Garamond" w:hAnsi="Garamond" w:cstheme="majorBidi"/>
        </w:rPr>
        <w:fldChar w:fldCharType="end"/>
      </w:r>
    </w:p>
  </w:footnote>
  <w:footnote w:id="92">
    <w:p w:rsidR="004F3629" w:rsidRPr="000311D6" w:rsidRDefault="004F3629" w:rsidP="000311D6">
      <w:pPr>
        <w:pStyle w:val="FootnoteText"/>
        <w:jc w:val="both"/>
        <w:rPr>
          <w:rFonts w:ascii="Garamond" w:hAnsi="Garamond" w:cs="Traditional Arabic"/>
          <w:rtl/>
          <w:lang w:bidi="ar-EG"/>
        </w:rPr>
      </w:pPr>
      <w:r w:rsidRPr="000311D6">
        <w:rPr>
          <w:rStyle w:val="FootnoteReference"/>
          <w:rFonts w:ascii="Garamond" w:hAnsi="Garamond"/>
        </w:rPr>
        <w:footnoteRef/>
      </w:r>
      <w:r w:rsidRPr="000311D6">
        <w:rPr>
          <w:rFonts w:ascii="Garamond" w:hAnsi="Garamond" w:cs="Traditional Arabic"/>
        </w:rPr>
        <w:t xml:space="preserve"> </w:t>
      </w:r>
      <w:r w:rsidRPr="000311D6">
        <w:rPr>
          <w:rFonts w:ascii="Garamond" w:hAnsi="Garamond" w:cs="Traditional Arabic"/>
          <w:rtl/>
          <w:lang w:bidi="ar-EG"/>
        </w:rPr>
        <w:t xml:space="preserve"> </w:t>
      </w:r>
      <w:proofErr w:type="spellStart"/>
      <w:proofErr w:type="gramStart"/>
      <w:r w:rsidR="000311D6" w:rsidRPr="000311D6">
        <w:rPr>
          <w:rFonts w:ascii="Garamond" w:hAnsi="Garamond" w:cs="Traditional Arabic"/>
          <w:lang w:bidi="ar-EG"/>
        </w:rPr>
        <w:t>Ibn</w:t>
      </w:r>
      <w:proofErr w:type="spellEnd"/>
      <w:r w:rsidR="000311D6" w:rsidRPr="000311D6">
        <w:rPr>
          <w:rFonts w:ascii="Garamond" w:hAnsi="Garamond" w:cs="Traditional Arabic"/>
          <w:lang w:bidi="ar-EG"/>
        </w:rPr>
        <w:t xml:space="preserve"> </w:t>
      </w:r>
      <w:proofErr w:type="spellStart"/>
      <w:r w:rsidR="000311D6" w:rsidRPr="000311D6">
        <w:rPr>
          <w:rFonts w:ascii="Garamond" w:hAnsi="Garamond" w:cs="Traditional Arabic"/>
          <w:lang w:bidi="ar-EG"/>
        </w:rPr>
        <w:t>Majah</w:t>
      </w:r>
      <w:proofErr w:type="spellEnd"/>
      <w:r w:rsidR="000311D6" w:rsidRPr="000311D6">
        <w:rPr>
          <w:rFonts w:ascii="Garamond" w:hAnsi="Garamond" w:cs="Traditional Arabic"/>
          <w:lang w:bidi="ar-EG"/>
        </w:rPr>
        <w:t xml:space="preserve">, </w:t>
      </w:r>
      <w:r w:rsidR="000311D6">
        <w:rPr>
          <w:rFonts w:ascii="Garamond" w:hAnsi="Garamond" w:cs="Traditional Arabic"/>
          <w:lang w:bidi="ar-EG"/>
        </w:rPr>
        <w:t>as-</w:t>
      </w:r>
      <w:proofErr w:type="spellStart"/>
      <w:r w:rsidR="000311D6" w:rsidRPr="000311D6">
        <w:rPr>
          <w:rFonts w:ascii="Garamond" w:hAnsi="Garamond" w:cs="Traditional Arabic"/>
          <w:lang w:bidi="ar-EG"/>
        </w:rPr>
        <w:t>Sunan</w:t>
      </w:r>
      <w:proofErr w:type="spellEnd"/>
      <w:r w:rsidR="000311D6" w:rsidRPr="000311D6">
        <w:rPr>
          <w:rFonts w:ascii="Garamond" w:hAnsi="Garamond" w:cs="Traditional Arabic"/>
          <w:lang w:bidi="ar-EG"/>
        </w:rPr>
        <w:t xml:space="preserve">, </w:t>
      </w:r>
      <w:r w:rsidR="000311D6">
        <w:rPr>
          <w:rFonts w:ascii="Garamond" w:hAnsi="Garamond" w:cs="Traditional Arabic"/>
          <w:lang w:bidi="ar-EG"/>
        </w:rPr>
        <w:t>v</w:t>
      </w:r>
      <w:r w:rsidR="000311D6" w:rsidRPr="000311D6">
        <w:rPr>
          <w:rFonts w:ascii="Garamond" w:hAnsi="Garamond" w:cs="Traditional Arabic"/>
          <w:lang w:bidi="ar-EG"/>
        </w:rPr>
        <w:t xml:space="preserve">ol. 2, 819, </w:t>
      </w:r>
      <w:r w:rsidR="000311D6">
        <w:rPr>
          <w:rFonts w:ascii="Garamond" w:hAnsi="Garamond" w:cs="Traditional Arabic"/>
          <w:lang w:bidi="ar-EG"/>
        </w:rPr>
        <w:t>n</w:t>
      </w:r>
      <w:r w:rsidR="000311D6" w:rsidRPr="000311D6">
        <w:rPr>
          <w:rFonts w:ascii="Garamond" w:hAnsi="Garamond" w:cs="Traditional Arabic"/>
          <w:lang w:bidi="ar-EG"/>
        </w:rPr>
        <w:t>o. 2450.</w:t>
      </w:r>
      <w:proofErr w:type="gramEnd"/>
    </w:p>
  </w:footnote>
  <w:footnote w:id="93">
    <w:p w:rsidR="004F3629" w:rsidRPr="00FB0005" w:rsidRDefault="004F3629" w:rsidP="000311D6">
      <w:pPr>
        <w:pStyle w:val="FootnoteText"/>
        <w:jc w:val="both"/>
        <w:rPr>
          <w:rFonts w:ascii="Garamond" w:hAnsi="Garamond"/>
          <w:rtl/>
          <w:lang w:bidi="ar-EG"/>
        </w:rPr>
      </w:pPr>
      <w:r w:rsidRPr="00FB0005">
        <w:rPr>
          <w:rStyle w:val="FootnoteReference"/>
          <w:rFonts w:ascii="Garamond" w:hAnsi="Garamond"/>
        </w:rPr>
        <w:footnoteRef/>
      </w:r>
      <w:r w:rsidRPr="00FB0005">
        <w:rPr>
          <w:rFonts w:ascii="Garamond" w:hAnsi="Garamond"/>
        </w:rPr>
        <w:t xml:space="preserve"> </w:t>
      </w:r>
      <w:r w:rsidR="000311D6" w:rsidRPr="000311D6">
        <w:rPr>
          <w:rFonts w:ascii="Garamond" w:hAnsi="Garamond"/>
        </w:rPr>
        <w:t xml:space="preserve">Abu Abdullah Muhammad </w:t>
      </w:r>
      <w:proofErr w:type="spellStart"/>
      <w:r w:rsidR="000311D6" w:rsidRPr="000311D6">
        <w:rPr>
          <w:rFonts w:ascii="Garamond" w:hAnsi="Garamond"/>
        </w:rPr>
        <w:t>ibn</w:t>
      </w:r>
      <w:proofErr w:type="spellEnd"/>
      <w:r w:rsidR="000311D6" w:rsidRPr="000311D6">
        <w:rPr>
          <w:rFonts w:ascii="Garamond" w:hAnsi="Garamond"/>
        </w:rPr>
        <w:t xml:space="preserve"> Nasr </w:t>
      </w:r>
      <w:proofErr w:type="spellStart"/>
      <w:r w:rsidR="000311D6" w:rsidRPr="000311D6">
        <w:rPr>
          <w:rFonts w:ascii="Garamond" w:hAnsi="Garamond"/>
        </w:rPr>
        <w:t>ibn</w:t>
      </w:r>
      <w:proofErr w:type="spellEnd"/>
      <w:r w:rsidR="000311D6" w:rsidRPr="000311D6">
        <w:rPr>
          <w:rFonts w:ascii="Garamond" w:hAnsi="Garamond"/>
        </w:rPr>
        <w:t xml:space="preserve"> al-</w:t>
      </w:r>
      <w:proofErr w:type="spellStart"/>
      <w:r w:rsidR="000311D6" w:rsidRPr="000311D6">
        <w:rPr>
          <w:rFonts w:ascii="Garamond" w:hAnsi="Garamond"/>
        </w:rPr>
        <w:t>Hajjaj</w:t>
      </w:r>
      <w:proofErr w:type="spellEnd"/>
      <w:r w:rsidR="000311D6" w:rsidRPr="000311D6">
        <w:rPr>
          <w:rFonts w:ascii="Garamond" w:hAnsi="Garamond"/>
        </w:rPr>
        <w:t xml:space="preserve"> al-</w:t>
      </w:r>
      <w:proofErr w:type="spellStart"/>
      <w:r w:rsidR="000311D6" w:rsidRPr="000311D6">
        <w:rPr>
          <w:rFonts w:ascii="Garamond" w:hAnsi="Garamond"/>
        </w:rPr>
        <w:t>Marwazi</w:t>
      </w:r>
      <w:proofErr w:type="spellEnd"/>
      <w:r w:rsidR="000311D6" w:rsidRPr="000311D6">
        <w:rPr>
          <w:rFonts w:ascii="Garamond" w:hAnsi="Garamond"/>
        </w:rPr>
        <w:t xml:space="preserve">, </w:t>
      </w:r>
      <w:r w:rsidR="000311D6" w:rsidRPr="000311D6">
        <w:rPr>
          <w:rFonts w:ascii="Garamond" w:hAnsi="Garamond"/>
          <w:i/>
          <w:iCs/>
        </w:rPr>
        <w:t>Al-</w:t>
      </w:r>
      <w:proofErr w:type="spellStart"/>
      <w:r w:rsidR="000311D6" w:rsidRPr="000311D6">
        <w:rPr>
          <w:rFonts w:ascii="Garamond" w:hAnsi="Garamond"/>
          <w:i/>
          <w:iCs/>
        </w:rPr>
        <w:t>Sunnah</w:t>
      </w:r>
      <w:proofErr w:type="spellEnd"/>
      <w:r w:rsidR="000311D6">
        <w:rPr>
          <w:rFonts w:ascii="Garamond" w:hAnsi="Garamond"/>
        </w:rPr>
        <w:t xml:space="preserve">, ed. </w:t>
      </w:r>
      <w:proofErr w:type="spellStart"/>
      <w:r w:rsidR="000311D6" w:rsidRPr="000311D6">
        <w:rPr>
          <w:rFonts w:ascii="Garamond" w:hAnsi="Garamond"/>
        </w:rPr>
        <w:t>Salim</w:t>
      </w:r>
      <w:proofErr w:type="spellEnd"/>
      <w:r w:rsidR="000311D6" w:rsidRPr="000311D6">
        <w:rPr>
          <w:rFonts w:ascii="Garamond" w:hAnsi="Garamond"/>
        </w:rPr>
        <w:t xml:space="preserve"> Ahmad al-</w:t>
      </w:r>
      <w:proofErr w:type="spellStart"/>
      <w:r w:rsidR="000311D6" w:rsidRPr="000311D6">
        <w:rPr>
          <w:rFonts w:ascii="Garamond" w:hAnsi="Garamond"/>
        </w:rPr>
        <w:t>Salafi</w:t>
      </w:r>
      <w:proofErr w:type="spellEnd"/>
      <w:r w:rsidR="000311D6" w:rsidRPr="000311D6">
        <w:rPr>
          <w:rFonts w:ascii="Garamond" w:hAnsi="Garamond"/>
        </w:rPr>
        <w:t xml:space="preserve">, (Beirut: </w:t>
      </w:r>
      <w:proofErr w:type="spellStart"/>
      <w:r w:rsidR="000311D6" w:rsidRPr="000311D6">
        <w:rPr>
          <w:rFonts w:ascii="Garamond" w:hAnsi="Garamond"/>
        </w:rPr>
        <w:t>Muasisah</w:t>
      </w:r>
      <w:proofErr w:type="spellEnd"/>
      <w:r w:rsidR="000311D6" w:rsidRPr="000311D6">
        <w:rPr>
          <w:rFonts w:ascii="Garamond" w:hAnsi="Garamond"/>
        </w:rPr>
        <w:t xml:space="preserve"> al-</w:t>
      </w:r>
      <w:proofErr w:type="spellStart"/>
      <w:r w:rsidR="000311D6" w:rsidRPr="000311D6">
        <w:rPr>
          <w:rFonts w:ascii="Garamond" w:hAnsi="Garamond"/>
        </w:rPr>
        <w:t>Kutib</w:t>
      </w:r>
      <w:proofErr w:type="spellEnd"/>
      <w:r w:rsidR="000311D6" w:rsidRPr="000311D6">
        <w:rPr>
          <w:rFonts w:ascii="Garamond" w:hAnsi="Garamond"/>
        </w:rPr>
        <w:t xml:space="preserve"> a</w:t>
      </w:r>
      <w:r w:rsidR="000311D6">
        <w:rPr>
          <w:rFonts w:ascii="Garamond" w:hAnsi="Garamond"/>
        </w:rPr>
        <w:t>l-</w:t>
      </w:r>
      <w:proofErr w:type="spellStart"/>
      <w:r w:rsidR="000311D6">
        <w:rPr>
          <w:rFonts w:ascii="Garamond" w:hAnsi="Garamond"/>
        </w:rPr>
        <w:t>Tsaqafiyah</w:t>
      </w:r>
      <w:proofErr w:type="spellEnd"/>
      <w:r w:rsidR="000311D6">
        <w:rPr>
          <w:rFonts w:ascii="Garamond" w:hAnsi="Garamond"/>
        </w:rPr>
        <w:t>, 1408), vol. 43,</w:t>
      </w:r>
      <w:r w:rsidR="000311D6" w:rsidRPr="000311D6">
        <w:rPr>
          <w:rFonts w:ascii="Garamond" w:hAnsi="Garamond"/>
        </w:rPr>
        <w:t xml:space="preserve"> 110.</w:t>
      </w:r>
    </w:p>
  </w:footnote>
  <w:footnote w:id="94">
    <w:p w:rsidR="004F3629" w:rsidRPr="000311D6" w:rsidRDefault="004F3629" w:rsidP="000311D6">
      <w:pPr>
        <w:pStyle w:val="FootnoteText"/>
        <w:jc w:val="both"/>
        <w:rPr>
          <w:rFonts w:ascii="Garamond" w:hAnsi="Garamond" w:cs="Traditional Arabic"/>
          <w:rtl/>
          <w:lang w:bidi="ar-EG"/>
        </w:rPr>
      </w:pPr>
      <w:r w:rsidRPr="000311D6">
        <w:rPr>
          <w:rStyle w:val="FootnoteReference"/>
          <w:rFonts w:ascii="Garamond" w:hAnsi="Garamond"/>
        </w:rPr>
        <w:footnoteRef/>
      </w:r>
      <w:r w:rsidR="000311D6" w:rsidRPr="000311D6">
        <w:rPr>
          <w:rFonts w:ascii="Garamond" w:hAnsi="Garamond" w:cs="Traditional Arabic"/>
          <w:rtl/>
          <w:lang w:bidi="ar-EG"/>
        </w:rPr>
        <w:t xml:space="preserve"> </w:t>
      </w:r>
      <w:r w:rsidR="000311D6" w:rsidRPr="000311D6">
        <w:rPr>
          <w:rFonts w:ascii="Garamond" w:hAnsi="Garamond" w:cs="Traditional Arabic"/>
          <w:lang w:bidi="ar-EG"/>
        </w:rPr>
        <w:t xml:space="preserve">Ahmad </w:t>
      </w:r>
      <w:proofErr w:type="spellStart"/>
      <w:r w:rsidR="000311D6" w:rsidRPr="000311D6">
        <w:rPr>
          <w:rFonts w:ascii="Garamond" w:hAnsi="Garamond" w:cs="Traditional Arabic"/>
          <w:lang w:bidi="ar-EG"/>
        </w:rPr>
        <w:t>ibn</w:t>
      </w:r>
      <w:proofErr w:type="spellEnd"/>
      <w:r w:rsidR="000311D6" w:rsidRPr="000311D6">
        <w:rPr>
          <w:rFonts w:ascii="Garamond" w:hAnsi="Garamond" w:cs="Traditional Arabic"/>
          <w:lang w:bidi="ar-EG"/>
        </w:rPr>
        <w:t xml:space="preserve"> al-</w:t>
      </w:r>
      <w:proofErr w:type="spellStart"/>
      <w:r w:rsidR="000311D6" w:rsidRPr="000311D6">
        <w:rPr>
          <w:rFonts w:ascii="Garamond" w:hAnsi="Garamond" w:cs="Traditional Arabic"/>
          <w:lang w:bidi="ar-EG"/>
        </w:rPr>
        <w:t>Husayn</w:t>
      </w:r>
      <w:proofErr w:type="spellEnd"/>
      <w:r w:rsidR="000311D6" w:rsidRPr="000311D6">
        <w:rPr>
          <w:rFonts w:ascii="Garamond" w:hAnsi="Garamond" w:cs="Traditional Arabic"/>
          <w:lang w:bidi="ar-EG"/>
        </w:rPr>
        <w:t xml:space="preserve"> </w:t>
      </w:r>
      <w:proofErr w:type="spellStart"/>
      <w:r w:rsidR="000311D6" w:rsidRPr="000311D6">
        <w:rPr>
          <w:rFonts w:ascii="Garamond" w:hAnsi="Garamond" w:cs="Traditional Arabic"/>
          <w:lang w:bidi="ar-EG"/>
        </w:rPr>
        <w:t>ibn</w:t>
      </w:r>
      <w:proofErr w:type="spellEnd"/>
      <w:r w:rsidR="000311D6" w:rsidRPr="000311D6">
        <w:rPr>
          <w:rFonts w:ascii="Garamond" w:hAnsi="Garamond" w:cs="Traditional Arabic"/>
          <w:lang w:bidi="ar-EG"/>
        </w:rPr>
        <w:t xml:space="preserve"> Ali </w:t>
      </w:r>
      <w:proofErr w:type="spellStart"/>
      <w:r w:rsidR="000311D6" w:rsidRPr="000311D6">
        <w:rPr>
          <w:rFonts w:ascii="Garamond" w:hAnsi="Garamond" w:cs="Traditional Arabic"/>
          <w:lang w:bidi="ar-EG"/>
        </w:rPr>
        <w:t>ibn</w:t>
      </w:r>
      <w:proofErr w:type="spellEnd"/>
      <w:r w:rsidR="000311D6" w:rsidRPr="000311D6">
        <w:rPr>
          <w:rFonts w:ascii="Garamond" w:hAnsi="Garamond" w:cs="Traditional Arabic"/>
          <w:lang w:bidi="ar-EG"/>
        </w:rPr>
        <w:t xml:space="preserve"> Musa al-</w:t>
      </w:r>
      <w:proofErr w:type="spellStart"/>
      <w:r w:rsidR="000311D6" w:rsidRPr="000311D6">
        <w:rPr>
          <w:rFonts w:ascii="Garamond" w:hAnsi="Garamond" w:cs="Traditional Arabic"/>
          <w:lang w:bidi="ar-EG"/>
        </w:rPr>
        <w:t>Khusrawjardi</w:t>
      </w:r>
      <w:proofErr w:type="spellEnd"/>
      <w:r w:rsidR="000311D6" w:rsidRPr="000311D6">
        <w:rPr>
          <w:rFonts w:ascii="Garamond" w:hAnsi="Garamond" w:cs="Traditional Arabic"/>
          <w:lang w:bidi="ar-EG"/>
        </w:rPr>
        <w:t xml:space="preserve"> al-</w:t>
      </w:r>
      <w:proofErr w:type="spellStart"/>
      <w:r w:rsidR="000311D6" w:rsidRPr="000311D6">
        <w:rPr>
          <w:rFonts w:ascii="Garamond" w:hAnsi="Garamond" w:cs="Traditional Arabic"/>
          <w:lang w:bidi="ar-EG"/>
        </w:rPr>
        <w:t>Khorasany</w:t>
      </w:r>
      <w:proofErr w:type="spellEnd"/>
      <w:r w:rsidR="000311D6" w:rsidRPr="000311D6">
        <w:rPr>
          <w:rFonts w:ascii="Garamond" w:hAnsi="Garamond" w:cs="Traditional Arabic"/>
          <w:i/>
          <w:iCs/>
          <w:lang w:bidi="ar-EG"/>
        </w:rPr>
        <w:t>, Al-</w:t>
      </w:r>
      <w:proofErr w:type="spellStart"/>
      <w:r w:rsidR="000311D6" w:rsidRPr="000311D6">
        <w:rPr>
          <w:rFonts w:ascii="Garamond" w:hAnsi="Garamond" w:cs="Traditional Arabic"/>
          <w:i/>
          <w:iCs/>
          <w:lang w:bidi="ar-EG"/>
        </w:rPr>
        <w:t>Madkhal</w:t>
      </w:r>
      <w:proofErr w:type="spellEnd"/>
      <w:r w:rsidR="000311D6" w:rsidRPr="000311D6">
        <w:rPr>
          <w:rFonts w:ascii="Garamond" w:hAnsi="Garamond" w:cs="Traditional Arabic"/>
          <w:i/>
          <w:iCs/>
          <w:lang w:bidi="ar-EG"/>
        </w:rPr>
        <w:t xml:space="preserve"> </w:t>
      </w:r>
      <w:proofErr w:type="spellStart"/>
      <w:proofErr w:type="gramStart"/>
      <w:r w:rsidR="000311D6" w:rsidRPr="000311D6">
        <w:rPr>
          <w:rFonts w:ascii="Garamond" w:hAnsi="Garamond" w:cs="Traditional Arabic"/>
          <w:i/>
          <w:iCs/>
          <w:lang w:bidi="ar-EG"/>
        </w:rPr>
        <w:t>ila</w:t>
      </w:r>
      <w:proofErr w:type="spellEnd"/>
      <w:proofErr w:type="gramEnd"/>
      <w:r w:rsidR="000311D6" w:rsidRPr="000311D6">
        <w:rPr>
          <w:rFonts w:ascii="Garamond" w:hAnsi="Garamond" w:cs="Traditional Arabic"/>
          <w:i/>
          <w:iCs/>
          <w:lang w:bidi="ar-EG"/>
        </w:rPr>
        <w:t xml:space="preserve"> al-</w:t>
      </w:r>
      <w:proofErr w:type="spellStart"/>
      <w:r w:rsidR="000311D6" w:rsidRPr="000311D6">
        <w:rPr>
          <w:rFonts w:ascii="Garamond" w:hAnsi="Garamond" w:cs="Traditional Arabic"/>
          <w:i/>
          <w:iCs/>
          <w:lang w:bidi="ar-EG"/>
        </w:rPr>
        <w:t>Sunan</w:t>
      </w:r>
      <w:proofErr w:type="spellEnd"/>
      <w:r w:rsidR="000311D6" w:rsidRPr="000311D6">
        <w:rPr>
          <w:rFonts w:ascii="Garamond" w:hAnsi="Garamond" w:cs="Traditional Arabic"/>
          <w:i/>
          <w:iCs/>
          <w:lang w:bidi="ar-EG"/>
        </w:rPr>
        <w:t xml:space="preserve"> al-Kubra</w:t>
      </w:r>
      <w:r w:rsidR="000311D6" w:rsidRPr="000311D6">
        <w:rPr>
          <w:rFonts w:ascii="Garamond" w:hAnsi="Garamond" w:cs="Traditional Arabic"/>
          <w:lang w:bidi="ar-EG"/>
        </w:rPr>
        <w:t>, ed. Muhammad Diu al-</w:t>
      </w:r>
      <w:proofErr w:type="spellStart"/>
      <w:r w:rsidR="000311D6" w:rsidRPr="000311D6">
        <w:rPr>
          <w:rFonts w:ascii="Garamond" w:hAnsi="Garamond" w:cs="Traditional Arabic"/>
          <w:lang w:bidi="ar-EG"/>
        </w:rPr>
        <w:t>Rahman</w:t>
      </w:r>
      <w:proofErr w:type="spellEnd"/>
      <w:r w:rsidR="000311D6" w:rsidRPr="000311D6">
        <w:rPr>
          <w:rFonts w:ascii="Garamond" w:hAnsi="Garamond" w:cs="Traditional Arabic"/>
          <w:lang w:bidi="ar-EG"/>
        </w:rPr>
        <w:t xml:space="preserve"> al-</w:t>
      </w:r>
      <w:proofErr w:type="spellStart"/>
      <w:r w:rsidR="000311D6" w:rsidRPr="000311D6">
        <w:rPr>
          <w:rFonts w:ascii="Garamond" w:hAnsi="Garamond" w:cs="Traditional Arabic"/>
          <w:lang w:bidi="ar-EG"/>
        </w:rPr>
        <w:t>A'zamy</w:t>
      </w:r>
      <w:proofErr w:type="spellEnd"/>
      <w:r w:rsidR="000311D6" w:rsidRPr="000311D6">
        <w:rPr>
          <w:rFonts w:ascii="Garamond" w:hAnsi="Garamond" w:cs="Traditional Arabic"/>
          <w:lang w:bidi="ar-EG"/>
        </w:rPr>
        <w:t xml:space="preserve"> (Kuwait: Dar al-Khalifa</w:t>
      </w:r>
      <w:r w:rsidR="000311D6">
        <w:rPr>
          <w:rFonts w:ascii="Garamond" w:hAnsi="Garamond" w:cs="Traditional Arabic"/>
          <w:lang w:bidi="ar-EG"/>
        </w:rPr>
        <w:t xml:space="preserve"> li-l-</w:t>
      </w:r>
      <w:proofErr w:type="spellStart"/>
      <w:r w:rsidR="000311D6">
        <w:rPr>
          <w:rFonts w:ascii="Garamond" w:hAnsi="Garamond" w:cs="Traditional Arabic"/>
          <w:lang w:bidi="ar-EG"/>
        </w:rPr>
        <w:t>Kitab</w:t>
      </w:r>
      <w:proofErr w:type="spellEnd"/>
      <w:r w:rsidR="000311D6">
        <w:rPr>
          <w:rFonts w:ascii="Garamond" w:hAnsi="Garamond" w:cs="Traditional Arabic"/>
          <w:lang w:bidi="ar-EG"/>
        </w:rPr>
        <w:t xml:space="preserve"> al-</w:t>
      </w:r>
      <w:proofErr w:type="spellStart"/>
      <w:r w:rsidR="000311D6">
        <w:rPr>
          <w:rFonts w:ascii="Garamond" w:hAnsi="Garamond" w:cs="Traditional Arabic"/>
          <w:lang w:bidi="ar-EG"/>
        </w:rPr>
        <w:t>Islamy</w:t>
      </w:r>
      <w:proofErr w:type="spellEnd"/>
      <w:r w:rsidR="000311D6">
        <w:rPr>
          <w:rFonts w:ascii="Garamond" w:hAnsi="Garamond" w:cs="Traditional Arabic"/>
          <w:lang w:bidi="ar-EG"/>
        </w:rPr>
        <w:t xml:space="preserve">, </w:t>
      </w:r>
      <w:proofErr w:type="spellStart"/>
      <w:r w:rsidR="000311D6">
        <w:rPr>
          <w:rFonts w:ascii="Garamond" w:hAnsi="Garamond" w:cs="Traditional Arabic"/>
          <w:lang w:bidi="ar-EG"/>
        </w:rPr>
        <w:t>n.d.</w:t>
      </w:r>
      <w:proofErr w:type="spellEnd"/>
      <w:r w:rsidR="000311D6">
        <w:rPr>
          <w:rFonts w:ascii="Garamond" w:hAnsi="Garamond" w:cs="Traditional Arabic"/>
          <w:lang w:bidi="ar-EG"/>
        </w:rPr>
        <w:t>).</w:t>
      </w:r>
      <w:r w:rsidR="000311D6" w:rsidRPr="000311D6">
        <w:rPr>
          <w:rFonts w:ascii="Garamond" w:hAnsi="Garamond" w:cs="Traditional Arabic"/>
          <w:lang w:bidi="ar-EG"/>
        </w:rPr>
        <w:t xml:space="preserve"> 195</w:t>
      </w:r>
      <w:r w:rsidR="000311D6">
        <w:rPr>
          <w:rFonts w:ascii="Garamond" w:hAnsi="Garamond" w:cs="Traditional Arabic"/>
          <w:lang w:bidi="ar-EG"/>
        </w:rPr>
        <w:t>.</w:t>
      </w:r>
    </w:p>
  </w:footnote>
  <w:footnote w:id="95">
    <w:p w:rsidR="004F3629" w:rsidRPr="000311D6" w:rsidRDefault="004F3629" w:rsidP="000311D6">
      <w:pPr>
        <w:pStyle w:val="FootnoteText"/>
        <w:jc w:val="both"/>
        <w:rPr>
          <w:rFonts w:ascii="Garamond" w:hAnsi="Garamond" w:cs="Traditional Arabic"/>
          <w:rtl/>
          <w:lang w:bidi="ar-EG"/>
        </w:rPr>
      </w:pPr>
      <w:r w:rsidRPr="000311D6">
        <w:rPr>
          <w:rStyle w:val="FootnoteReference"/>
          <w:rFonts w:ascii="Garamond" w:hAnsi="Garamond"/>
        </w:rPr>
        <w:footnoteRef/>
      </w:r>
      <w:r w:rsidRPr="000311D6">
        <w:rPr>
          <w:rFonts w:ascii="Garamond" w:hAnsi="Garamond" w:cs="Traditional Arabic"/>
        </w:rPr>
        <w:t xml:space="preserve"> </w:t>
      </w:r>
      <w:r w:rsidRPr="000311D6">
        <w:rPr>
          <w:rFonts w:ascii="Garamond" w:hAnsi="Garamond" w:cs="Traditional Arabic"/>
          <w:rtl/>
          <w:lang w:bidi="ar-EG"/>
        </w:rPr>
        <w:t xml:space="preserve"> </w:t>
      </w:r>
      <w:r w:rsidR="000311D6" w:rsidRPr="000311D6">
        <w:rPr>
          <w:rFonts w:ascii="Garamond" w:hAnsi="Garamond" w:cs="Traditional Arabic"/>
          <w:lang w:bidi="ar-EG"/>
        </w:rPr>
        <w:t>Musa al-</w:t>
      </w:r>
      <w:proofErr w:type="spellStart"/>
      <w:r w:rsidR="000311D6" w:rsidRPr="000311D6">
        <w:rPr>
          <w:rFonts w:ascii="Garamond" w:hAnsi="Garamond" w:cs="Traditional Arabic"/>
          <w:lang w:bidi="ar-EG"/>
        </w:rPr>
        <w:t>Khusrawjardi</w:t>
      </w:r>
      <w:proofErr w:type="spellEnd"/>
      <w:r w:rsidR="000311D6" w:rsidRPr="000311D6">
        <w:rPr>
          <w:rFonts w:ascii="Garamond" w:hAnsi="Garamond" w:cs="Traditional Arabic"/>
          <w:lang w:bidi="ar-EG"/>
        </w:rPr>
        <w:t xml:space="preserve"> al-</w:t>
      </w:r>
      <w:proofErr w:type="spellStart"/>
      <w:r w:rsidR="000311D6" w:rsidRPr="000311D6">
        <w:rPr>
          <w:rFonts w:ascii="Garamond" w:hAnsi="Garamond" w:cs="Traditional Arabic"/>
          <w:lang w:bidi="ar-EG"/>
        </w:rPr>
        <w:t>Khorasany</w:t>
      </w:r>
      <w:proofErr w:type="spellEnd"/>
      <w:r w:rsidR="000311D6" w:rsidRPr="000311D6">
        <w:rPr>
          <w:rFonts w:ascii="Garamond" w:hAnsi="Garamond" w:cs="Traditional Arabic"/>
          <w:lang w:bidi="ar-EG"/>
        </w:rPr>
        <w:t xml:space="preserve">, </w:t>
      </w:r>
      <w:r w:rsidR="000311D6" w:rsidRPr="000311D6">
        <w:rPr>
          <w:rFonts w:ascii="Garamond" w:hAnsi="Garamond" w:cs="Traditional Arabic"/>
          <w:i/>
          <w:iCs/>
          <w:lang w:bidi="ar-EG"/>
        </w:rPr>
        <w:t>Al-</w:t>
      </w:r>
      <w:proofErr w:type="spellStart"/>
      <w:r w:rsidR="000311D6" w:rsidRPr="000311D6">
        <w:rPr>
          <w:rFonts w:ascii="Garamond" w:hAnsi="Garamond" w:cs="Traditional Arabic"/>
          <w:i/>
          <w:iCs/>
          <w:lang w:bidi="ar-EG"/>
        </w:rPr>
        <w:t>Madkhal</w:t>
      </w:r>
      <w:proofErr w:type="spellEnd"/>
      <w:r w:rsidR="000311D6" w:rsidRPr="000311D6">
        <w:rPr>
          <w:rFonts w:ascii="Garamond" w:hAnsi="Garamond" w:cs="Traditional Arabic"/>
          <w:i/>
          <w:iCs/>
          <w:lang w:bidi="ar-EG"/>
        </w:rPr>
        <w:t xml:space="preserve"> </w:t>
      </w:r>
      <w:proofErr w:type="spellStart"/>
      <w:proofErr w:type="gramStart"/>
      <w:r w:rsidR="000311D6" w:rsidRPr="000311D6">
        <w:rPr>
          <w:rFonts w:ascii="Garamond" w:hAnsi="Garamond" w:cs="Traditional Arabic"/>
          <w:i/>
          <w:iCs/>
          <w:lang w:bidi="ar-EG"/>
        </w:rPr>
        <w:t>ila</w:t>
      </w:r>
      <w:proofErr w:type="spellEnd"/>
      <w:proofErr w:type="gramEnd"/>
      <w:r w:rsidR="000311D6" w:rsidRPr="000311D6">
        <w:rPr>
          <w:rFonts w:ascii="Garamond" w:hAnsi="Garamond" w:cs="Traditional Arabic"/>
          <w:i/>
          <w:iCs/>
          <w:lang w:bidi="ar-EG"/>
        </w:rPr>
        <w:t xml:space="preserve"> al-</w:t>
      </w:r>
      <w:proofErr w:type="spellStart"/>
      <w:r w:rsidR="000311D6" w:rsidRPr="000311D6">
        <w:rPr>
          <w:rFonts w:ascii="Garamond" w:hAnsi="Garamond" w:cs="Traditional Arabic"/>
          <w:i/>
          <w:iCs/>
          <w:lang w:bidi="ar-EG"/>
        </w:rPr>
        <w:t>Sunan</w:t>
      </w:r>
      <w:proofErr w:type="spellEnd"/>
      <w:r w:rsidR="000311D6">
        <w:rPr>
          <w:rFonts w:ascii="Garamond" w:hAnsi="Garamond" w:cs="Traditional Arabic"/>
          <w:lang w:bidi="ar-EG"/>
        </w:rPr>
        <w:t>, 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A35F0"/>
    <w:multiLevelType w:val="hybridMultilevel"/>
    <w:tmpl w:val="064AA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EF846FB"/>
    <w:multiLevelType w:val="hybridMultilevel"/>
    <w:tmpl w:val="B7EE9DC6"/>
    <w:lvl w:ilvl="0" w:tplc="4A3688D0">
      <w:start w:val="1"/>
      <w:numFmt w:val="decimal"/>
      <w:lvlText w:val="%1."/>
      <w:lvlJc w:val="left"/>
      <w:pPr>
        <w:ind w:left="1440" w:hanging="360"/>
      </w:pPr>
      <w:rPr>
        <w:rFonts w:ascii="Garamond" w:hAnsi="Garamond" w:hint="default"/>
        <w:b/>
        <w:bCs/>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56814A3B"/>
    <w:multiLevelType w:val="hybridMultilevel"/>
    <w:tmpl w:val="060C32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A956106"/>
    <w:multiLevelType w:val="hybridMultilevel"/>
    <w:tmpl w:val="BA70F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75589F"/>
    <w:multiLevelType w:val="hybridMultilevel"/>
    <w:tmpl w:val="F0AA5A3E"/>
    <w:lvl w:ilvl="0" w:tplc="7B4C6FF6">
      <w:start w:val="1"/>
      <w:numFmt w:val="decimal"/>
      <w:lvlText w:val="%1."/>
      <w:lvlJc w:val="left"/>
      <w:pPr>
        <w:ind w:left="720" w:hanging="360"/>
      </w:pPr>
      <w:rPr>
        <w:rFonts w:ascii="Garamond" w:hAnsi="Garamond"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E1"/>
    <w:rsid w:val="00011C32"/>
    <w:rsid w:val="00013BBC"/>
    <w:rsid w:val="000311D6"/>
    <w:rsid w:val="00035515"/>
    <w:rsid w:val="00091205"/>
    <w:rsid w:val="000B2D69"/>
    <w:rsid w:val="000B6E9B"/>
    <w:rsid w:val="000C0212"/>
    <w:rsid w:val="000C1F40"/>
    <w:rsid w:val="000E754F"/>
    <w:rsid w:val="00131775"/>
    <w:rsid w:val="001A3D02"/>
    <w:rsid w:val="001B0F6B"/>
    <w:rsid w:val="001F4720"/>
    <w:rsid w:val="001F79D0"/>
    <w:rsid w:val="00205BEB"/>
    <w:rsid w:val="00211D9D"/>
    <w:rsid w:val="00261E97"/>
    <w:rsid w:val="002833F4"/>
    <w:rsid w:val="002A42D2"/>
    <w:rsid w:val="00344DCD"/>
    <w:rsid w:val="00366D0D"/>
    <w:rsid w:val="0037601A"/>
    <w:rsid w:val="0038138E"/>
    <w:rsid w:val="00397AA6"/>
    <w:rsid w:val="003C5A61"/>
    <w:rsid w:val="003E6F88"/>
    <w:rsid w:val="00412003"/>
    <w:rsid w:val="00424452"/>
    <w:rsid w:val="0042535C"/>
    <w:rsid w:val="00425CD8"/>
    <w:rsid w:val="00455530"/>
    <w:rsid w:val="004862F4"/>
    <w:rsid w:val="004B0895"/>
    <w:rsid w:val="004B7627"/>
    <w:rsid w:val="004C4E0C"/>
    <w:rsid w:val="004D2E24"/>
    <w:rsid w:val="004E5AE8"/>
    <w:rsid w:val="004F3629"/>
    <w:rsid w:val="004F4B3C"/>
    <w:rsid w:val="00521F38"/>
    <w:rsid w:val="00571E35"/>
    <w:rsid w:val="005C31A5"/>
    <w:rsid w:val="005C31FD"/>
    <w:rsid w:val="005C5D9C"/>
    <w:rsid w:val="005E0A1F"/>
    <w:rsid w:val="006133CA"/>
    <w:rsid w:val="00645880"/>
    <w:rsid w:val="006800DD"/>
    <w:rsid w:val="0068386F"/>
    <w:rsid w:val="00696768"/>
    <w:rsid w:val="006C010B"/>
    <w:rsid w:val="006F2AAA"/>
    <w:rsid w:val="006F662B"/>
    <w:rsid w:val="00713055"/>
    <w:rsid w:val="0072192D"/>
    <w:rsid w:val="00782E4E"/>
    <w:rsid w:val="007851D7"/>
    <w:rsid w:val="007A1654"/>
    <w:rsid w:val="007A35F3"/>
    <w:rsid w:val="007F6FF9"/>
    <w:rsid w:val="008043E4"/>
    <w:rsid w:val="00835549"/>
    <w:rsid w:val="00853AA0"/>
    <w:rsid w:val="00856813"/>
    <w:rsid w:val="0086035A"/>
    <w:rsid w:val="008671E9"/>
    <w:rsid w:val="008C0625"/>
    <w:rsid w:val="008F1342"/>
    <w:rsid w:val="00915DF2"/>
    <w:rsid w:val="00942BDE"/>
    <w:rsid w:val="00946F92"/>
    <w:rsid w:val="009750C8"/>
    <w:rsid w:val="009C06EC"/>
    <w:rsid w:val="009C5D16"/>
    <w:rsid w:val="009F5DEF"/>
    <w:rsid w:val="00A1029A"/>
    <w:rsid w:val="00A11A93"/>
    <w:rsid w:val="00A14825"/>
    <w:rsid w:val="00A41060"/>
    <w:rsid w:val="00A4612E"/>
    <w:rsid w:val="00A73F5B"/>
    <w:rsid w:val="00A844D6"/>
    <w:rsid w:val="00A84D73"/>
    <w:rsid w:val="00AC4A92"/>
    <w:rsid w:val="00AD5212"/>
    <w:rsid w:val="00AD6CE7"/>
    <w:rsid w:val="00AD6D4D"/>
    <w:rsid w:val="00AE2E9D"/>
    <w:rsid w:val="00AF74AF"/>
    <w:rsid w:val="00B20E9E"/>
    <w:rsid w:val="00B56290"/>
    <w:rsid w:val="00B60B3B"/>
    <w:rsid w:val="00B716E8"/>
    <w:rsid w:val="00BB0EDB"/>
    <w:rsid w:val="00BD01F3"/>
    <w:rsid w:val="00C652EC"/>
    <w:rsid w:val="00C9560C"/>
    <w:rsid w:val="00CB6862"/>
    <w:rsid w:val="00CB7FB6"/>
    <w:rsid w:val="00CE09C2"/>
    <w:rsid w:val="00CF2502"/>
    <w:rsid w:val="00D26292"/>
    <w:rsid w:val="00D40782"/>
    <w:rsid w:val="00D61CE5"/>
    <w:rsid w:val="00D74E77"/>
    <w:rsid w:val="00D761D5"/>
    <w:rsid w:val="00D92B19"/>
    <w:rsid w:val="00D94267"/>
    <w:rsid w:val="00D9606C"/>
    <w:rsid w:val="00DB76BC"/>
    <w:rsid w:val="00DD3AA9"/>
    <w:rsid w:val="00DF425A"/>
    <w:rsid w:val="00E528FB"/>
    <w:rsid w:val="00E5791D"/>
    <w:rsid w:val="00E61F71"/>
    <w:rsid w:val="00E85142"/>
    <w:rsid w:val="00E95940"/>
    <w:rsid w:val="00ED4DBE"/>
    <w:rsid w:val="00EF3382"/>
    <w:rsid w:val="00EF3FC6"/>
    <w:rsid w:val="00F952FB"/>
    <w:rsid w:val="00FB0005"/>
    <w:rsid w:val="00FB14E1"/>
    <w:rsid w:val="00FC3924"/>
    <w:rsid w:val="00FE1458"/>
    <w:rsid w:val="00FE74EA"/>
    <w:rsid w:val="00FF31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4E1"/>
    <w:pPr>
      <w:spacing w:after="0" w:line="240" w:lineRule="auto"/>
    </w:pPr>
    <w:rPr>
      <w:rFonts w:eastAsiaTheme="minorEastAsia" w:cs="Calibri"/>
      <w:sz w:val="24"/>
      <w:szCs w:val="24"/>
    </w:rPr>
  </w:style>
  <w:style w:type="paragraph" w:styleId="Heading2">
    <w:name w:val="heading 2"/>
    <w:basedOn w:val="Normal"/>
    <w:link w:val="Heading2Char"/>
    <w:uiPriority w:val="9"/>
    <w:qFormat/>
    <w:rsid w:val="00FB14E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14E1"/>
    <w:rPr>
      <w:rFonts w:ascii="Times New Roman" w:eastAsia="Times New Roman" w:hAnsi="Times New Roman" w:cs="Times New Roman"/>
      <w:b/>
      <w:bCs/>
      <w:sz w:val="36"/>
      <w:szCs w:val="36"/>
    </w:rPr>
  </w:style>
  <w:style w:type="paragraph" w:styleId="FootnoteText">
    <w:name w:val="footnote text"/>
    <w:basedOn w:val="Normal"/>
    <w:link w:val="FootnoteTextChar"/>
    <w:uiPriority w:val="99"/>
    <w:unhideWhenUsed/>
    <w:rsid w:val="00FB14E1"/>
    <w:rPr>
      <w:sz w:val="20"/>
      <w:szCs w:val="20"/>
    </w:rPr>
  </w:style>
  <w:style w:type="character" w:customStyle="1" w:styleId="FootnoteTextChar">
    <w:name w:val="Footnote Text Char"/>
    <w:basedOn w:val="DefaultParagraphFont"/>
    <w:link w:val="FootnoteText"/>
    <w:uiPriority w:val="99"/>
    <w:rsid w:val="00FB14E1"/>
    <w:rPr>
      <w:rFonts w:eastAsiaTheme="minorEastAsia" w:cs="Calibri"/>
      <w:sz w:val="20"/>
      <w:szCs w:val="20"/>
    </w:rPr>
  </w:style>
  <w:style w:type="character" w:styleId="FootnoteReference">
    <w:name w:val="footnote reference"/>
    <w:basedOn w:val="DefaultParagraphFont"/>
    <w:uiPriority w:val="99"/>
    <w:semiHidden/>
    <w:unhideWhenUsed/>
    <w:rsid w:val="00FB14E1"/>
    <w:rPr>
      <w:vertAlign w:val="superscript"/>
    </w:rPr>
  </w:style>
  <w:style w:type="character" w:customStyle="1" w:styleId="tr">
    <w:name w:val="tr"/>
    <w:basedOn w:val="DefaultParagraphFont"/>
    <w:rsid w:val="00FB14E1"/>
  </w:style>
  <w:style w:type="paragraph" w:styleId="Bibliography">
    <w:name w:val="Bibliography"/>
    <w:basedOn w:val="Normal"/>
    <w:next w:val="Normal"/>
    <w:uiPriority w:val="37"/>
    <w:unhideWhenUsed/>
    <w:rsid w:val="00FB14E1"/>
    <w:pPr>
      <w:ind w:left="720" w:hanging="720"/>
    </w:pPr>
  </w:style>
  <w:style w:type="paragraph" w:styleId="ListParagraph">
    <w:name w:val="List Paragraph"/>
    <w:basedOn w:val="Normal"/>
    <w:uiPriority w:val="34"/>
    <w:qFormat/>
    <w:rsid w:val="00FB14E1"/>
    <w:pPr>
      <w:ind w:left="720"/>
      <w:contextualSpacing/>
    </w:pPr>
  </w:style>
  <w:style w:type="character" w:styleId="EndnoteReference">
    <w:name w:val="endnote reference"/>
    <w:basedOn w:val="DefaultParagraphFont"/>
    <w:uiPriority w:val="99"/>
    <w:semiHidden/>
    <w:unhideWhenUsed/>
    <w:rsid w:val="00FB14E1"/>
    <w:rPr>
      <w:vertAlign w:val="superscript"/>
    </w:rPr>
  </w:style>
  <w:style w:type="character" w:styleId="Hyperlink">
    <w:name w:val="Hyperlink"/>
    <w:basedOn w:val="DefaultParagraphFont"/>
    <w:uiPriority w:val="99"/>
    <w:unhideWhenUsed/>
    <w:rsid w:val="00FB14E1"/>
    <w:rPr>
      <w:color w:val="0000FF" w:themeColor="hyperlink"/>
      <w:u w:val="single"/>
    </w:rPr>
  </w:style>
  <w:style w:type="paragraph" w:styleId="NormalWeb">
    <w:name w:val="Normal (Web)"/>
    <w:basedOn w:val="Normal"/>
    <w:uiPriority w:val="99"/>
    <w:unhideWhenUsed/>
    <w:rsid w:val="000C021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7601A"/>
    <w:rPr>
      <w:rFonts w:ascii="Tahoma" w:hAnsi="Tahoma" w:cs="Tahoma"/>
      <w:sz w:val="16"/>
      <w:szCs w:val="16"/>
    </w:rPr>
  </w:style>
  <w:style w:type="character" w:customStyle="1" w:styleId="BalloonTextChar">
    <w:name w:val="Balloon Text Char"/>
    <w:basedOn w:val="DefaultParagraphFont"/>
    <w:link w:val="BalloonText"/>
    <w:uiPriority w:val="99"/>
    <w:semiHidden/>
    <w:rsid w:val="0037601A"/>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4E1"/>
    <w:pPr>
      <w:spacing w:after="0" w:line="240" w:lineRule="auto"/>
    </w:pPr>
    <w:rPr>
      <w:rFonts w:eastAsiaTheme="minorEastAsia" w:cs="Calibri"/>
      <w:sz w:val="24"/>
      <w:szCs w:val="24"/>
    </w:rPr>
  </w:style>
  <w:style w:type="paragraph" w:styleId="Heading2">
    <w:name w:val="heading 2"/>
    <w:basedOn w:val="Normal"/>
    <w:link w:val="Heading2Char"/>
    <w:uiPriority w:val="9"/>
    <w:qFormat/>
    <w:rsid w:val="00FB14E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14E1"/>
    <w:rPr>
      <w:rFonts w:ascii="Times New Roman" w:eastAsia="Times New Roman" w:hAnsi="Times New Roman" w:cs="Times New Roman"/>
      <w:b/>
      <w:bCs/>
      <w:sz w:val="36"/>
      <w:szCs w:val="36"/>
    </w:rPr>
  </w:style>
  <w:style w:type="paragraph" w:styleId="FootnoteText">
    <w:name w:val="footnote text"/>
    <w:basedOn w:val="Normal"/>
    <w:link w:val="FootnoteTextChar"/>
    <w:uiPriority w:val="99"/>
    <w:unhideWhenUsed/>
    <w:rsid w:val="00FB14E1"/>
    <w:rPr>
      <w:sz w:val="20"/>
      <w:szCs w:val="20"/>
    </w:rPr>
  </w:style>
  <w:style w:type="character" w:customStyle="1" w:styleId="FootnoteTextChar">
    <w:name w:val="Footnote Text Char"/>
    <w:basedOn w:val="DefaultParagraphFont"/>
    <w:link w:val="FootnoteText"/>
    <w:uiPriority w:val="99"/>
    <w:rsid w:val="00FB14E1"/>
    <w:rPr>
      <w:rFonts w:eastAsiaTheme="minorEastAsia" w:cs="Calibri"/>
      <w:sz w:val="20"/>
      <w:szCs w:val="20"/>
    </w:rPr>
  </w:style>
  <w:style w:type="character" w:styleId="FootnoteReference">
    <w:name w:val="footnote reference"/>
    <w:basedOn w:val="DefaultParagraphFont"/>
    <w:uiPriority w:val="99"/>
    <w:semiHidden/>
    <w:unhideWhenUsed/>
    <w:rsid w:val="00FB14E1"/>
    <w:rPr>
      <w:vertAlign w:val="superscript"/>
    </w:rPr>
  </w:style>
  <w:style w:type="character" w:customStyle="1" w:styleId="tr">
    <w:name w:val="tr"/>
    <w:basedOn w:val="DefaultParagraphFont"/>
    <w:rsid w:val="00FB14E1"/>
  </w:style>
  <w:style w:type="paragraph" w:styleId="Bibliography">
    <w:name w:val="Bibliography"/>
    <w:basedOn w:val="Normal"/>
    <w:next w:val="Normal"/>
    <w:uiPriority w:val="37"/>
    <w:unhideWhenUsed/>
    <w:rsid w:val="00FB14E1"/>
    <w:pPr>
      <w:ind w:left="720" w:hanging="720"/>
    </w:pPr>
  </w:style>
  <w:style w:type="paragraph" w:styleId="ListParagraph">
    <w:name w:val="List Paragraph"/>
    <w:basedOn w:val="Normal"/>
    <w:uiPriority w:val="34"/>
    <w:qFormat/>
    <w:rsid w:val="00FB14E1"/>
    <w:pPr>
      <w:ind w:left="720"/>
      <w:contextualSpacing/>
    </w:pPr>
  </w:style>
  <w:style w:type="character" w:styleId="EndnoteReference">
    <w:name w:val="endnote reference"/>
    <w:basedOn w:val="DefaultParagraphFont"/>
    <w:uiPriority w:val="99"/>
    <w:semiHidden/>
    <w:unhideWhenUsed/>
    <w:rsid w:val="00FB14E1"/>
    <w:rPr>
      <w:vertAlign w:val="superscript"/>
    </w:rPr>
  </w:style>
  <w:style w:type="character" w:styleId="Hyperlink">
    <w:name w:val="Hyperlink"/>
    <w:basedOn w:val="DefaultParagraphFont"/>
    <w:uiPriority w:val="99"/>
    <w:unhideWhenUsed/>
    <w:rsid w:val="00FB14E1"/>
    <w:rPr>
      <w:color w:val="0000FF" w:themeColor="hyperlink"/>
      <w:u w:val="single"/>
    </w:rPr>
  </w:style>
  <w:style w:type="paragraph" w:styleId="NormalWeb">
    <w:name w:val="Normal (Web)"/>
    <w:basedOn w:val="Normal"/>
    <w:uiPriority w:val="99"/>
    <w:unhideWhenUsed/>
    <w:rsid w:val="000C021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7601A"/>
    <w:rPr>
      <w:rFonts w:ascii="Tahoma" w:hAnsi="Tahoma" w:cs="Tahoma"/>
      <w:sz w:val="16"/>
      <w:szCs w:val="16"/>
    </w:rPr>
  </w:style>
  <w:style w:type="character" w:customStyle="1" w:styleId="BalloonTextChar">
    <w:name w:val="Balloon Text Char"/>
    <w:basedOn w:val="DefaultParagraphFont"/>
    <w:link w:val="BalloonText"/>
    <w:uiPriority w:val="99"/>
    <w:semiHidden/>
    <w:rsid w:val="0037601A"/>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62004">
      <w:bodyDiv w:val="1"/>
      <w:marLeft w:val="0"/>
      <w:marRight w:val="0"/>
      <w:marTop w:val="0"/>
      <w:marBottom w:val="0"/>
      <w:divBdr>
        <w:top w:val="none" w:sz="0" w:space="0" w:color="auto"/>
        <w:left w:val="none" w:sz="0" w:space="0" w:color="auto"/>
        <w:bottom w:val="none" w:sz="0" w:space="0" w:color="auto"/>
        <w:right w:val="none" w:sz="0" w:space="0" w:color="auto"/>
      </w:divBdr>
    </w:div>
    <w:div w:id="78454320">
      <w:bodyDiv w:val="1"/>
      <w:marLeft w:val="0"/>
      <w:marRight w:val="0"/>
      <w:marTop w:val="0"/>
      <w:marBottom w:val="0"/>
      <w:divBdr>
        <w:top w:val="none" w:sz="0" w:space="0" w:color="auto"/>
        <w:left w:val="none" w:sz="0" w:space="0" w:color="auto"/>
        <w:bottom w:val="none" w:sz="0" w:space="0" w:color="auto"/>
        <w:right w:val="none" w:sz="0" w:space="0" w:color="auto"/>
      </w:divBdr>
    </w:div>
    <w:div w:id="311567122">
      <w:bodyDiv w:val="1"/>
      <w:marLeft w:val="0"/>
      <w:marRight w:val="0"/>
      <w:marTop w:val="0"/>
      <w:marBottom w:val="0"/>
      <w:divBdr>
        <w:top w:val="none" w:sz="0" w:space="0" w:color="auto"/>
        <w:left w:val="none" w:sz="0" w:space="0" w:color="auto"/>
        <w:bottom w:val="none" w:sz="0" w:space="0" w:color="auto"/>
        <w:right w:val="none" w:sz="0" w:space="0" w:color="auto"/>
      </w:divBdr>
    </w:div>
    <w:div w:id="311839473">
      <w:bodyDiv w:val="1"/>
      <w:marLeft w:val="0"/>
      <w:marRight w:val="0"/>
      <w:marTop w:val="0"/>
      <w:marBottom w:val="0"/>
      <w:divBdr>
        <w:top w:val="none" w:sz="0" w:space="0" w:color="auto"/>
        <w:left w:val="none" w:sz="0" w:space="0" w:color="auto"/>
        <w:bottom w:val="none" w:sz="0" w:space="0" w:color="auto"/>
        <w:right w:val="none" w:sz="0" w:space="0" w:color="auto"/>
      </w:divBdr>
    </w:div>
    <w:div w:id="385757634">
      <w:bodyDiv w:val="1"/>
      <w:marLeft w:val="0"/>
      <w:marRight w:val="0"/>
      <w:marTop w:val="0"/>
      <w:marBottom w:val="0"/>
      <w:divBdr>
        <w:top w:val="none" w:sz="0" w:space="0" w:color="auto"/>
        <w:left w:val="none" w:sz="0" w:space="0" w:color="auto"/>
        <w:bottom w:val="none" w:sz="0" w:space="0" w:color="auto"/>
        <w:right w:val="none" w:sz="0" w:space="0" w:color="auto"/>
      </w:divBdr>
    </w:div>
    <w:div w:id="947154320">
      <w:bodyDiv w:val="1"/>
      <w:marLeft w:val="0"/>
      <w:marRight w:val="0"/>
      <w:marTop w:val="0"/>
      <w:marBottom w:val="0"/>
      <w:divBdr>
        <w:top w:val="none" w:sz="0" w:space="0" w:color="auto"/>
        <w:left w:val="none" w:sz="0" w:space="0" w:color="auto"/>
        <w:bottom w:val="none" w:sz="0" w:space="0" w:color="auto"/>
        <w:right w:val="none" w:sz="0" w:space="0" w:color="auto"/>
      </w:divBdr>
    </w:div>
    <w:div w:id="1806386131">
      <w:bodyDiv w:val="1"/>
      <w:marLeft w:val="0"/>
      <w:marRight w:val="0"/>
      <w:marTop w:val="0"/>
      <w:marBottom w:val="0"/>
      <w:divBdr>
        <w:top w:val="none" w:sz="0" w:space="0" w:color="auto"/>
        <w:left w:val="none" w:sz="0" w:space="0" w:color="auto"/>
        <w:bottom w:val="none" w:sz="0" w:space="0" w:color="auto"/>
        <w:right w:val="none" w:sz="0" w:space="0" w:color="auto"/>
      </w:divBdr>
    </w:div>
    <w:div w:id="192244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alhafidh@live.iium.edu.my" TargetMode="External"/><Relationship Id="rId5" Type="http://schemas.openxmlformats.org/officeDocument/2006/relationships/settings" Target="settings.xml"/><Relationship Id="rId10" Type="http://schemas.openxmlformats.org/officeDocument/2006/relationships/hyperlink" Target="mailto:husaini@iium.edu.my" TargetMode="External"/><Relationship Id="rId4" Type="http://schemas.microsoft.com/office/2007/relationships/stylesWithEffects" Target="stylesWithEffects.xml"/><Relationship Id="rId9" Type="http://schemas.openxmlformats.org/officeDocument/2006/relationships/hyperlink" Target="mailto:eldin@iium.edu.my"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igilib.uin-suka.ac.id/cgi/search/archive/sim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09592-89CE-4CA9-BC7A-15E9032B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1</Pages>
  <Words>7970</Words>
  <Characters>45434</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42</cp:revision>
  <dcterms:created xsi:type="dcterms:W3CDTF">2025-08-17T03:16:00Z</dcterms:created>
  <dcterms:modified xsi:type="dcterms:W3CDTF">2025-08-20T14:23:00Z</dcterms:modified>
</cp:coreProperties>
</file>