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5B32" w:rsidRDefault="00093074">
      <w:pPr>
        <w:jc w:val="center"/>
        <w:rPr>
          <w:rFonts w:asciiTheme="majorBidi" w:hAnsiTheme="majorBidi" w:cstheme="majorBidi"/>
          <w:b/>
          <w:bCs/>
        </w:rPr>
      </w:pPr>
      <w:r>
        <w:rPr>
          <w:rFonts w:asciiTheme="majorBidi" w:hAnsiTheme="majorBidi" w:cstheme="majorBidi"/>
          <w:b/>
          <w:bCs/>
          <w:lang w:val="zh-CN"/>
        </w:rPr>
        <w:t>Banten's Bazaar: Commerce and Cultural Customs in the 17th Century</w:t>
      </w:r>
      <w:r>
        <w:rPr>
          <w:rFonts w:asciiTheme="majorBidi" w:hAnsiTheme="majorBidi" w:cstheme="majorBidi"/>
          <w:b/>
          <w:bCs/>
        </w:rPr>
        <w:t xml:space="preserve"> </w:t>
      </w:r>
      <w:r w:rsidR="00105A8E">
        <w:rPr>
          <w:rFonts w:asciiTheme="majorBidi" w:hAnsiTheme="majorBidi" w:cstheme="majorBidi"/>
          <w:b/>
          <w:bCs/>
        </w:rPr>
        <w:t>Banten Sultanate</w:t>
      </w:r>
      <w:bookmarkStart w:id="0" w:name="_GoBack"/>
      <w:bookmarkEnd w:id="0"/>
    </w:p>
    <w:p w:rsidR="00BC5B32" w:rsidRDefault="00BC5B32">
      <w:pPr>
        <w:spacing w:after="0"/>
        <w:jc w:val="center"/>
        <w:rPr>
          <w:rFonts w:asciiTheme="majorBidi" w:hAnsiTheme="majorBidi" w:cstheme="majorBidi"/>
          <w:lang w:val="zh-CN"/>
        </w:rPr>
      </w:pPr>
    </w:p>
    <w:p w:rsidR="00BC5B32" w:rsidRDefault="00093074">
      <w:pPr>
        <w:spacing w:after="0"/>
        <w:jc w:val="center"/>
        <w:rPr>
          <w:rFonts w:asciiTheme="majorBidi" w:hAnsiTheme="majorBidi" w:cstheme="majorBidi"/>
          <w:b/>
          <w:bCs/>
          <w:lang w:val="zh-CN"/>
        </w:rPr>
      </w:pPr>
      <w:r>
        <w:rPr>
          <w:rFonts w:asciiTheme="majorBidi" w:hAnsiTheme="majorBidi" w:cstheme="majorBidi"/>
          <w:b/>
          <w:bCs/>
          <w:lang w:val="zh-CN"/>
        </w:rPr>
        <w:t>Fahmi Irfani</w:t>
      </w:r>
    </w:p>
    <w:p w:rsidR="00BC5B32" w:rsidRPr="00566E7E" w:rsidRDefault="00093074">
      <w:pPr>
        <w:spacing w:after="0"/>
        <w:jc w:val="center"/>
        <w:rPr>
          <w:rFonts w:asciiTheme="majorBidi" w:hAnsiTheme="majorBidi" w:cstheme="majorBidi"/>
        </w:rPr>
      </w:pPr>
      <w:r>
        <w:rPr>
          <w:rFonts w:asciiTheme="majorBidi" w:hAnsiTheme="majorBidi" w:cstheme="majorBidi"/>
          <w:lang w:val="zh-CN"/>
        </w:rPr>
        <w:t xml:space="preserve">Department of Islamic  </w:t>
      </w:r>
      <w:r w:rsidR="00566E7E">
        <w:rPr>
          <w:rFonts w:asciiTheme="majorBidi" w:hAnsiTheme="majorBidi" w:cstheme="majorBidi"/>
        </w:rPr>
        <w:t>Studies</w:t>
      </w:r>
    </w:p>
    <w:p w:rsidR="00BC5B32" w:rsidRDefault="00093074">
      <w:pPr>
        <w:spacing w:after="0"/>
        <w:jc w:val="center"/>
        <w:rPr>
          <w:rFonts w:asciiTheme="majorBidi" w:hAnsiTheme="majorBidi" w:cstheme="majorBidi"/>
          <w:lang w:val="zh-CN"/>
        </w:rPr>
      </w:pPr>
      <w:r>
        <w:rPr>
          <w:rFonts w:asciiTheme="majorBidi" w:hAnsiTheme="majorBidi" w:cstheme="majorBidi"/>
          <w:lang w:val="zh-CN"/>
        </w:rPr>
        <w:t>Ibn Khaldun University</w:t>
      </w:r>
    </w:p>
    <w:p w:rsidR="00BC5B32" w:rsidRDefault="00093074">
      <w:pPr>
        <w:spacing w:after="0"/>
        <w:jc w:val="center"/>
        <w:rPr>
          <w:rFonts w:asciiTheme="majorBidi" w:hAnsiTheme="majorBidi" w:cstheme="majorBidi"/>
          <w:lang w:val="zh-CN"/>
        </w:rPr>
      </w:pPr>
      <w:r>
        <w:rPr>
          <w:rFonts w:asciiTheme="majorBidi" w:hAnsiTheme="majorBidi" w:cstheme="majorBidi"/>
          <w:lang w:val="zh-CN"/>
        </w:rPr>
        <w:t>Jl. Sholeh Iskandar No.Km.02, RT.01/RW.010, Kedungbadak, Kec. Tanah Sereal, Kota Bogor, Jawa Barat 16162, Indonesia</w:t>
      </w:r>
    </w:p>
    <w:p w:rsidR="00BC5B32" w:rsidRPr="00566E7E" w:rsidRDefault="00093074">
      <w:pPr>
        <w:spacing w:after="0"/>
        <w:jc w:val="center"/>
        <w:rPr>
          <w:rFonts w:asciiTheme="majorBidi" w:hAnsiTheme="majorBidi" w:cstheme="majorBidi"/>
          <w:b/>
          <w:bCs/>
        </w:rPr>
      </w:pPr>
      <w:r>
        <w:rPr>
          <w:rFonts w:asciiTheme="majorBidi" w:hAnsiTheme="majorBidi" w:cstheme="majorBidi"/>
          <w:b/>
          <w:bCs/>
          <w:lang w:val="zh-CN"/>
        </w:rPr>
        <w:t xml:space="preserve">E-mail address: </w:t>
      </w:r>
      <w:r w:rsidR="00407E10">
        <w:rPr>
          <w:rStyle w:val="Hyperlink"/>
          <w:rFonts w:asciiTheme="majorBidi" w:hAnsiTheme="majorBidi" w:cstheme="majorBidi"/>
          <w:b/>
          <w:bCs/>
          <w:lang w:val="zh-CN"/>
        </w:rPr>
        <w:fldChar w:fldCharType="begin"/>
      </w:r>
      <w:r w:rsidR="00407E10">
        <w:rPr>
          <w:rStyle w:val="Hyperlink"/>
          <w:rFonts w:asciiTheme="majorBidi" w:hAnsiTheme="majorBidi" w:cstheme="majorBidi"/>
          <w:b/>
          <w:bCs/>
          <w:lang w:val="zh-CN"/>
        </w:rPr>
        <w:instrText xml:space="preserve"> HYPERLINK "mailto:fahmiirfani@fai.uika-bogor.ac.id" </w:instrText>
      </w:r>
      <w:r w:rsidR="00407E10">
        <w:rPr>
          <w:rStyle w:val="Hyperlink"/>
          <w:rFonts w:asciiTheme="majorBidi" w:hAnsiTheme="majorBidi" w:cstheme="majorBidi"/>
          <w:b/>
          <w:bCs/>
          <w:lang w:val="zh-CN"/>
        </w:rPr>
        <w:fldChar w:fldCharType="separate"/>
      </w:r>
      <w:r w:rsidR="00566E7E" w:rsidRPr="00711031">
        <w:rPr>
          <w:rStyle w:val="Hyperlink"/>
          <w:rFonts w:asciiTheme="majorBidi" w:hAnsiTheme="majorBidi" w:cstheme="majorBidi"/>
          <w:b/>
          <w:bCs/>
          <w:lang w:val="zh-CN"/>
        </w:rPr>
        <w:t>fahmiirfani@fai.uika-bogor.ac.id</w:t>
      </w:r>
      <w:r w:rsidR="00407E10">
        <w:rPr>
          <w:rStyle w:val="Hyperlink"/>
          <w:rFonts w:asciiTheme="majorBidi" w:hAnsiTheme="majorBidi" w:cstheme="majorBidi"/>
          <w:b/>
          <w:bCs/>
          <w:lang w:val="zh-CN"/>
        </w:rPr>
        <w:fldChar w:fldCharType="end"/>
      </w:r>
      <w:r w:rsidR="00566E7E">
        <w:rPr>
          <w:rFonts w:asciiTheme="majorBidi" w:hAnsiTheme="majorBidi" w:cstheme="majorBidi"/>
          <w:b/>
          <w:bCs/>
        </w:rPr>
        <w:t xml:space="preserve"> </w:t>
      </w:r>
    </w:p>
    <w:p w:rsidR="00BC5B32" w:rsidRDefault="00BC5B32">
      <w:pPr>
        <w:spacing w:after="0"/>
        <w:jc w:val="center"/>
        <w:rPr>
          <w:rFonts w:asciiTheme="majorBidi" w:hAnsiTheme="majorBidi" w:cstheme="majorBidi"/>
          <w:b/>
          <w:bCs/>
          <w:lang w:val="zh-CN"/>
        </w:rPr>
      </w:pPr>
    </w:p>
    <w:p w:rsidR="00BC5B32" w:rsidRDefault="00093074">
      <w:pPr>
        <w:spacing w:after="0"/>
        <w:jc w:val="center"/>
        <w:rPr>
          <w:rFonts w:asciiTheme="majorBidi" w:hAnsiTheme="majorBidi" w:cstheme="majorBidi"/>
          <w:b/>
          <w:bCs/>
          <w:lang w:val="zh-CN"/>
        </w:rPr>
      </w:pPr>
      <w:r>
        <w:rPr>
          <w:rFonts w:asciiTheme="majorBidi" w:hAnsiTheme="majorBidi" w:cstheme="majorBidi"/>
          <w:b/>
          <w:bCs/>
          <w:lang w:val="zh-CN"/>
        </w:rPr>
        <w:t>Ecep Ishak Fariduddin</w:t>
      </w:r>
    </w:p>
    <w:p w:rsidR="00BC5B32" w:rsidRDefault="00093074">
      <w:pPr>
        <w:spacing w:after="0"/>
        <w:jc w:val="center"/>
        <w:rPr>
          <w:rFonts w:asciiTheme="majorBidi" w:hAnsiTheme="majorBidi" w:cstheme="majorBidi"/>
          <w:lang w:val="zh-CN"/>
        </w:rPr>
      </w:pPr>
      <w:r>
        <w:rPr>
          <w:rFonts w:asciiTheme="majorBidi" w:hAnsiTheme="majorBidi" w:cstheme="majorBidi"/>
          <w:lang w:val="zh-CN"/>
        </w:rPr>
        <w:t>Department of Islamic Political Thought</w:t>
      </w:r>
    </w:p>
    <w:p w:rsidR="00BC5B32" w:rsidRDefault="00093074">
      <w:pPr>
        <w:spacing w:after="0"/>
        <w:jc w:val="center"/>
        <w:rPr>
          <w:rFonts w:asciiTheme="majorBidi" w:hAnsiTheme="majorBidi" w:cstheme="majorBidi"/>
          <w:lang w:val="zh-CN"/>
        </w:rPr>
      </w:pPr>
      <w:r>
        <w:rPr>
          <w:rFonts w:asciiTheme="majorBidi" w:hAnsiTheme="majorBidi" w:cstheme="majorBidi"/>
          <w:lang w:val="zh-CN"/>
        </w:rPr>
        <w:t>College of Studies of Nahdlatul Ulama Nusantara Tangerang</w:t>
      </w:r>
    </w:p>
    <w:p w:rsidR="00BC5B32" w:rsidRDefault="00093074">
      <w:pPr>
        <w:spacing w:after="0"/>
        <w:jc w:val="center"/>
        <w:rPr>
          <w:rFonts w:asciiTheme="majorBidi" w:hAnsiTheme="majorBidi" w:cstheme="majorBidi"/>
          <w:lang w:val="zh-CN"/>
        </w:rPr>
      </w:pPr>
      <w:r>
        <w:rPr>
          <w:rFonts w:asciiTheme="majorBidi" w:hAnsiTheme="majorBidi" w:cstheme="majorBidi"/>
          <w:lang w:val="zh-CN"/>
        </w:rPr>
        <w:t>Jl. Perintis Kemerdekaan No. 2, RT. 007/003, Kelurahan Babakan, Kec. Tangerang, Kota Tangerang, Banten 15118, Indonesia</w:t>
      </w:r>
    </w:p>
    <w:p w:rsidR="00BC5B32" w:rsidRDefault="00093074">
      <w:pPr>
        <w:spacing w:after="0"/>
        <w:jc w:val="center"/>
        <w:rPr>
          <w:rFonts w:asciiTheme="majorBidi" w:hAnsiTheme="majorBidi" w:cstheme="majorBidi"/>
          <w:b/>
          <w:bCs/>
          <w:lang w:val="zh-CN"/>
        </w:rPr>
      </w:pPr>
      <w:r>
        <w:rPr>
          <w:rFonts w:asciiTheme="majorBidi" w:hAnsiTheme="majorBidi" w:cstheme="majorBidi"/>
          <w:b/>
          <w:bCs/>
          <w:lang w:val="zh-CN"/>
        </w:rPr>
        <w:t xml:space="preserve">E-mail address: </w:t>
      </w:r>
      <w:r w:rsidR="00407E10">
        <w:rPr>
          <w:rStyle w:val="Hyperlink"/>
          <w:rFonts w:asciiTheme="majorBidi" w:hAnsiTheme="majorBidi" w:cstheme="majorBidi"/>
          <w:b/>
          <w:bCs/>
          <w:lang w:val="zh-CN"/>
        </w:rPr>
        <w:fldChar w:fldCharType="begin"/>
      </w:r>
      <w:r w:rsidR="00407E10">
        <w:rPr>
          <w:rStyle w:val="Hyperlink"/>
          <w:rFonts w:asciiTheme="majorBidi" w:hAnsiTheme="majorBidi" w:cstheme="majorBidi"/>
          <w:b/>
          <w:bCs/>
          <w:lang w:val="zh-CN"/>
        </w:rPr>
        <w:instrText xml:space="preserve"> HYPERLINK "mailto:ecepfarid2@gmail.com" </w:instrText>
      </w:r>
      <w:r w:rsidR="00407E10">
        <w:rPr>
          <w:rStyle w:val="Hyperlink"/>
          <w:rFonts w:asciiTheme="majorBidi" w:hAnsiTheme="majorBidi" w:cstheme="majorBidi"/>
          <w:b/>
          <w:bCs/>
          <w:lang w:val="zh-CN"/>
        </w:rPr>
        <w:fldChar w:fldCharType="separate"/>
      </w:r>
      <w:r>
        <w:rPr>
          <w:rStyle w:val="Hyperlink"/>
          <w:rFonts w:asciiTheme="majorBidi" w:hAnsiTheme="majorBidi" w:cstheme="majorBidi"/>
          <w:b/>
          <w:bCs/>
          <w:lang w:val="zh-CN"/>
        </w:rPr>
        <w:t>ecepfarid2@gmail.com</w:t>
      </w:r>
      <w:r w:rsidR="00407E10">
        <w:rPr>
          <w:rStyle w:val="Hyperlink"/>
          <w:rFonts w:asciiTheme="majorBidi" w:hAnsiTheme="majorBidi" w:cstheme="majorBidi"/>
          <w:b/>
          <w:bCs/>
          <w:lang w:val="zh-CN"/>
        </w:rPr>
        <w:fldChar w:fldCharType="end"/>
      </w:r>
    </w:p>
    <w:p w:rsidR="00FE4B01" w:rsidRDefault="00FE4B01" w:rsidP="00FE4B01">
      <w:pPr>
        <w:spacing w:after="0"/>
        <w:jc w:val="center"/>
        <w:rPr>
          <w:rFonts w:ascii="Times New Roman" w:hAnsi="Times New Roman" w:cs="Times New Roman"/>
          <w:b/>
        </w:rPr>
      </w:pPr>
    </w:p>
    <w:p w:rsidR="00FE4B01" w:rsidRPr="00BE0A70" w:rsidRDefault="00FE4B01" w:rsidP="00FE4B01">
      <w:pPr>
        <w:spacing w:after="0"/>
        <w:jc w:val="center"/>
        <w:rPr>
          <w:rFonts w:ascii="Times New Roman" w:hAnsi="Times New Roman" w:cs="Times New Roman"/>
          <w:b/>
        </w:rPr>
      </w:pPr>
      <w:proofErr w:type="spellStart"/>
      <w:r w:rsidRPr="00BE0A70">
        <w:rPr>
          <w:rFonts w:ascii="Times New Roman" w:hAnsi="Times New Roman" w:cs="Times New Roman"/>
          <w:b/>
        </w:rPr>
        <w:t>Mas’udin</w:t>
      </w:r>
      <w:proofErr w:type="spellEnd"/>
      <w:r w:rsidRPr="00BE0A70">
        <w:rPr>
          <w:rFonts w:ascii="Times New Roman" w:hAnsi="Times New Roman" w:cs="Times New Roman"/>
          <w:b/>
        </w:rPr>
        <w:t xml:space="preserve"> </w:t>
      </w:r>
      <w:proofErr w:type="spellStart"/>
      <w:r w:rsidRPr="00BE0A70">
        <w:rPr>
          <w:rFonts w:ascii="Times New Roman" w:hAnsi="Times New Roman" w:cs="Times New Roman"/>
          <w:b/>
        </w:rPr>
        <w:t>Syarif</w:t>
      </w:r>
      <w:proofErr w:type="spellEnd"/>
    </w:p>
    <w:p w:rsidR="00FE4B01" w:rsidRPr="00BE0A70" w:rsidRDefault="00FE4B01" w:rsidP="00FE4B01">
      <w:pPr>
        <w:spacing w:after="0" w:line="240" w:lineRule="auto"/>
        <w:jc w:val="center"/>
        <w:rPr>
          <w:rFonts w:ascii="Times New Roman" w:eastAsia="Times New Roman" w:hAnsi="Times New Roman" w:cs="Times New Roman"/>
          <w:kern w:val="0"/>
          <w:shd w:val="clear" w:color="auto" w:fill="FFFFFF"/>
          <w:lang w:val="id-ID" w:eastAsia="id-ID"/>
          <w14:ligatures w14:val="none"/>
        </w:rPr>
      </w:pPr>
      <w:r w:rsidRPr="00BE0A70">
        <w:rPr>
          <w:rFonts w:ascii="Times New Roman" w:eastAsia="Times New Roman" w:hAnsi="Times New Roman" w:cs="Times New Roman"/>
          <w:kern w:val="0"/>
          <w:shd w:val="clear" w:color="auto" w:fill="FFFFFF"/>
          <w:lang w:val="id-ID" w:eastAsia="id-ID"/>
          <w14:ligatures w14:val="none"/>
        </w:rPr>
        <w:t xml:space="preserve">Al-Zuhri </w:t>
      </w:r>
      <w:proofErr w:type="spellStart"/>
      <w:r w:rsidRPr="00BE0A70">
        <w:rPr>
          <w:rFonts w:ascii="Times New Roman" w:eastAsia="Times New Roman" w:hAnsi="Times New Roman" w:cs="Times New Roman"/>
          <w:kern w:val="0"/>
          <w:shd w:val="clear" w:color="auto" w:fill="FFFFFF"/>
          <w:lang w:val="id-ID" w:eastAsia="id-ID"/>
          <w14:ligatures w14:val="none"/>
        </w:rPr>
        <w:t>Institute</w:t>
      </w:r>
      <w:proofErr w:type="spellEnd"/>
      <w:r w:rsidRPr="00BE0A70">
        <w:rPr>
          <w:rFonts w:ascii="Times New Roman" w:eastAsia="Times New Roman" w:hAnsi="Times New Roman" w:cs="Times New Roman"/>
          <w:kern w:val="0"/>
          <w:shd w:val="clear" w:color="auto" w:fill="FFFFFF"/>
          <w:lang w:val="id-ID" w:eastAsia="id-ID"/>
          <w14:ligatures w14:val="none"/>
        </w:rPr>
        <w:t xml:space="preserve"> </w:t>
      </w:r>
      <w:proofErr w:type="spellStart"/>
      <w:r w:rsidRPr="00BE0A70">
        <w:rPr>
          <w:rFonts w:ascii="Times New Roman" w:eastAsia="Times New Roman" w:hAnsi="Times New Roman" w:cs="Times New Roman"/>
          <w:kern w:val="0"/>
          <w:shd w:val="clear" w:color="auto" w:fill="FFFFFF"/>
          <w:lang w:val="id-ID" w:eastAsia="id-ID"/>
          <w14:ligatures w14:val="none"/>
        </w:rPr>
        <w:t>of</w:t>
      </w:r>
      <w:proofErr w:type="spellEnd"/>
      <w:r w:rsidRPr="00BE0A70">
        <w:rPr>
          <w:rFonts w:ascii="Times New Roman" w:eastAsia="Times New Roman" w:hAnsi="Times New Roman" w:cs="Times New Roman"/>
          <w:kern w:val="0"/>
          <w:shd w:val="clear" w:color="auto" w:fill="FFFFFF"/>
          <w:lang w:val="id-ID" w:eastAsia="id-ID"/>
          <w14:ligatures w14:val="none"/>
        </w:rPr>
        <w:t xml:space="preserve"> </w:t>
      </w:r>
      <w:proofErr w:type="spellStart"/>
      <w:r w:rsidRPr="00BE0A70">
        <w:rPr>
          <w:rFonts w:ascii="Times New Roman" w:eastAsia="Times New Roman" w:hAnsi="Times New Roman" w:cs="Times New Roman"/>
          <w:kern w:val="0"/>
          <w:shd w:val="clear" w:color="auto" w:fill="FFFFFF"/>
          <w:lang w:val="id-ID" w:eastAsia="id-ID"/>
          <w14:ligatures w14:val="none"/>
        </w:rPr>
        <w:t>Higher</w:t>
      </w:r>
      <w:proofErr w:type="spellEnd"/>
      <w:r w:rsidRPr="00BE0A70">
        <w:rPr>
          <w:rFonts w:ascii="Times New Roman" w:eastAsia="Times New Roman" w:hAnsi="Times New Roman" w:cs="Times New Roman"/>
          <w:kern w:val="0"/>
          <w:shd w:val="clear" w:color="auto" w:fill="FFFFFF"/>
          <w:lang w:val="id-ID" w:eastAsia="id-ID"/>
          <w14:ligatures w14:val="none"/>
        </w:rPr>
        <w:t xml:space="preserve"> </w:t>
      </w:r>
      <w:proofErr w:type="spellStart"/>
      <w:r w:rsidRPr="00BE0A70">
        <w:rPr>
          <w:rFonts w:ascii="Times New Roman" w:eastAsia="Times New Roman" w:hAnsi="Times New Roman" w:cs="Times New Roman"/>
          <w:kern w:val="0"/>
          <w:shd w:val="clear" w:color="auto" w:fill="FFFFFF"/>
          <w:lang w:val="id-ID" w:eastAsia="id-ID"/>
          <w14:ligatures w14:val="none"/>
        </w:rPr>
        <w:t>Learning</w:t>
      </w:r>
      <w:proofErr w:type="spellEnd"/>
      <w:r w:rsidRPr="00BE0A70">
        <w:rPr>
          <w:rFonts w:ascii="Times New Roman" w:eastAsia="Times New Roman" w:hAnsi="Times New Roman" w:cs="Times New Roman"/>
          <w:kern w:val="0"/>
          <w:shd w:val="clear" w:color="auto" w:fill="FFFFFF"/>
          <w:lang w:val="id-ID" w:eastAsia="id-ID"/>
          <w14:ligatures w14:val="none"/>
        </w:rPr>
        <w:t xml:space="preserve"> </w:t>
      </w:r>
    </w:p>
    <w:p w:rsidR="00FE4B01" w:rsidRPr="00BE0A70" w:rsidRDefault="00FE4B01" w:rsidP="00FE4B01">
      <w:pPr>
        <w:spacing w:after="0" w:line="240" w:lineRule="auto"/>
        <w:jc w:val="center"/>
        <w:rPr>
          <w:rFonts w:ascii="Times New Roman" w:eastAsia="Times New Roman" w:hAnsi="Times New Roman" w:cs="Times New Roman"/>
          <w:kern w:val="0"/>
          <w:shd w:val="clear" w:color="auto" w:fill="FFFFFF"/>
          <w:lang w:val="id-ID" w:eastAsia="id-ID"/>
          <w14:ligatures w14:val="none"/>
        </w:rPr>
      </w:pPr>
      <w:r w:rsidRPr="00BE0A70">
        <w:rPr>
          <w:rFonts w:ascii="Times New Roman" w:eastAsia="Times New Roman" w:hAnsi="Times New Roman" w:cs="Times New Roman"/>
          <w:kern w:val="0"/>
          <w:shd w:val="clear" w:color="auto" w:fill="FFFFFF"/>
          <w:lang w:val="id-ID" w:eastAsia="id-ID"/>
          <w14:ligatures w14:val="none"/>
        </w:rPr>
        <w:t xml:space="preserve">Wisma Indah, </w:t>
      </w:r>
      <w:proofErr w:type="spellStart"/>
      <w:r w:rsidRPr="00BE0A70">
        <w:rPr>
          <w:rFonts w:ascii="Times New Roman" w:eastAsia="Times New Roman" w:hAnsi="Times New Roman" w:cs="Times New Roman"/>
          <w:kern w:val="0"/>
          <w:shd w:val="clear" w:color="auto" w:fill="FFFFFF"/>
          <w:lang w:val="id-ID" w:eastAsia="id-ID"/>
          <w14:ligatures w14:val="none"/>
        </w:rPr>
        <w:t>Singapore</w:t>
      </w:r>
      <w:proofErr w:type="spellEnd"/>
    </w:p>
    <w:p w:rsidR="00FE4B01" w:rsidRPr="00BE0A70" w:rsidRDefault="00FE4B01" w:rsidP="00FE4B01">
      <w:pPr>
        <w:spacing w:after="0" w:line="240" w:lineRule="auto"/>
        <w:jc w:val="center"/>
        <w:rPr>
          <w:rFonts w:ascii="Times New Roman" w:eastAsia="Times New Roman" w:hAnsi="Times New Roman" w:cs="Times New Roman"/>
          <w:b/>
          <w:kern w:val="0"/>
          <w:lang w:eastAsia="id-ID"/>
          <w14:ligatures w14:val="none"/>
        </w:rPr>
      </w:pPr>
      <w:r w:rsidRPr="00BE0A70">
        <w:rPr>
          <w:rFonts w:ascii="Times New Roman" w:eastAsia="Times New Roman" w:hAnsi="Times New Roman" w:cs="Times New Roman"/>
          <w:b/>
          <w:kern w:val="0"/>
          <w:lang w:eastAsia="id-ID"/>
          <w14:ligatures w14:val="none"/>
        </w:rPr>
        <w:t xml:space="preserve">E-mail address: </w:t>
      </w:r>
      <w:hyperlink r:id="rId6" w:history="1">
        <w:r w:rsidRPr="00BE0A70">
          <w:rPr>
            <w:rStyle w:val="Hyperlink"/>
            <w:rFonts w:ascii="Times New Roman" w:eastAsia="Times New Roman" w:hAnsi="Times New Roman" w:cs="Times New Roman"/>
            <w:b/>
            <w:kern w:val="0"/>
            <w:lang w:eastAsia="id-ID"/>
            <w14:ligatures w14:val="none"/>
          </w:rPr>
          <w:t>masudin@zuhri.com.sg</w:t>
        </w:r>
      </w:hyperlink>
    </w:p>
    <w:p w:rsidR="00BC5B32" w:rsidRDefault="00BC5B32">
      <w:pPr>
        <w:jc w:val="center"/>
        <w:rPr>
          <w:rFonts w:asciiTheme="majorBidi" w:hAnsiTheme="majorBidi" w:cstheme="majorBidi"/>
        </w:rPr>
      </w:pPr>
    </w:p>
    <w:p w:rsidR="00BC5B32" w:rsidRDefault="00093074">
      <w:pPr>
        <w:spacing w:after="0"/>
        <w:jc w:val="center"/>
        <w:rPr>
          <w:rFonts w:asciiTheme="majorBidi" w:hAnsiTheme="majorBidi" w:cstheme="majorBidi"/>
          <w:b/>
          <w:bCs/>
        </w:rPr>
      </w:pPr>
      <w:r>
        <w:rPr>
          <w:rFonts w:asciiTheme="majorBidi" w:hAnsiTheme="majorBidi" w:cstheme="majorBidi"/>
          <w:b/>
          <w:bCs/>
        </w:rPr>
        <w:t xml:space="preserve">Muhamad Riza </w:t>
      </w:r>
      <w:proofErr w:type="spellStart"/>
      <w:r>
        <w:rPr>
          <w:rFonts w:asciiTheme="majorBidi" w:hAnsiTheme="majorBidi" w:cstheme="majorBidi"/>
          <w:b/>
          <w:bCs/>
        </w:rPr>
        <w:t>Dzul</w:t>
      </w:r>
      <w:proofErr w:type="spellEnd"/>
      <w:r>
        <w:rPr>
          <w:rFonts w:asciiTheme="majorBidi" w:hAnsiTheme="majorBidi" w:cstheme="majorBidi"/>
          <w:b/>
          <w:bCs/>
        </w:rPr>
        <w:t xml:space="preserve"> </w:t>
      </w:r>
      <w:proofErr w:type="spellStart"/>
      <w:r>
        <w:rPr>
          <w:rFonts w:asciiTheme="majorBidi" w:hAnsiTheme="majorBidi" w:cstheme="majorBidi"/>
          <w:b/>
          <w:bCs/>
        </w:rPr>
        <w:t>Fahmi</w:t>
      </w:r>
      <w:proofErr w:type="spellEnd"/>
      <w:r>
        <w:rPr>
          <w:rFonts w:asciiTheme="majorBidi" w:hAnsiTheme="majorBidi" w:cstheme="majorBidi"/>
          <w:b/>
          <w:bCs/>
        </w:rPr>
        <w:t xml:space="preserve"> Aly</w:t>
      </w:r>
    </w:p>
    <w:p w:rsidR="00BC5B32" w:rsidRDefault="00093074">
      <w:pPr>
        <w:spacing w:after="0"/>
        <w:jc w:val="center"/>
        <w:rPr>
          <w:rFonts w:asciiTheme="majorBidi" w:hAnsiTheme="majorBidi" w:cstheme="majorBidi"/>
        </w:rPr>
      </w:pPr>
      <w:r>
        <w:rPr>
          <w:rFonts w:asciiTheme="majorBidi" w:hAnsiTheme="majorBidi" w:cstheme="majorBidi"/>
        </w:rPr>
        <w:t>Islamic Education Management</w:t>
      </w:r>
    </w:p>
    <w:p w:rsidR="00BC5B32" w:rsidRDefault="00093074">
      <w:pPr>
        <w:spacing w:after="0"/>
        <w:jc w:val="center"/>
        <w:rPr>
          <w:rFonts w:asciiTheme="majorBidi" w:hAnsiTheme="majorBidi" w:cstheme="majorBidi"/>
          <w:lang w:val="zh-CN"/>
        </w:rPr>
      </w:pPr>
      <w:r>
        <w:rPr>
          <w:rFonts w:asciiTheme="majorBidi" w:hAnsiTheme="majorBidi" w:cstheme="majorBidi"/>
          <w:lang w:val="zh-CN"/>
        </w:rPr>
        <w:t>College of Studies of Nahdlatul Ulama Nusantara Tangerang</w:t>
      </w:r>
    </w:p>
    <w:p w:rsidR="00BC5B32" w:rsidRDefault="00093074">
      <w:pPr>
        <w:spacing w:after="0"/>
        <w:jc w:val="center"/>
        <w:rPr>
          <w:rFonts w:asciiTheme="majorBidi" w:hAnsiTheme="majorBidi" w:cstheme="majorBidi"/>
          <w:lang w:val="zh-CN"/>
        </w:rPr>
      </w:pPr>
      <w:r>
        <w:rPr>
          <w:rFonts w:asciiTheme="majorBidi" w:hAnsiTheme="majorBidi" w:cstheme="majorBidi"/>
          <w:lang w:val="zh-CN"/>
        </w:rPr>
        <w:t>Jl. Perintis Kemerdekaan No. 2, RT. 007/003, Kelurahan Babakan, Kec. Tangerang, Kota Tangerang, Banten 15118, Indonesia</w:t>
      </w:r>
    </w:p>
    <w:p w:rsidR="00BE0A70" w:rsidRPr="00FE4B01" w:rsidRDefault="00093074" w:rsidP="00FE4B01">
      <w:pPr>
        <w:spacing w:after="0"/>
        <w:jc w:val="center"/>
        <w:rPr>
          <w:rFonts w:asciiTheme="majorBidi" w:hAnsiTheme="majorBidi" w:cstheme="majorBidi" w:hint="eastAsia"/>
          <w:b/>
          <w:bCs/>
          <w:lang w:val="zh-CN" w:eastAsia="zh-CN"/>
        </w:rPr>
      </w:pPr>
      <w:r>
        <w:rPr>
          <w:rFonts w:asciiTheme="majorBidi" w:hAnsiTheme="majorBidi" w:cstheme="majorBidi"/>
          <w:b/>
          <w:bCs/>
          <w:lang w:val="zh-CN"/>
        </w:rPr>
        <w:t xml:space="preserve">E-mail address: </w:t>
      </w:r>
      <w:r w:rsidR="00407E10">
        <w:rPr>
          <w:rStyle w:val="Hyperlink"/>
          <w:rFonts w:asciiTheme="majorBidi" w:hAnsiTheme="majorBidi" w:cstheme="majorBidi"/>
          <w:b/>
          <w:bCs/>
          <w:lang w:val="zh-CN"/>
        </w:rPr>
        <w:fldChar w:fldCharType="begin"/>
      </w:r>
      <w:r w:rsidR="00407E10">
        <w:rPr>
          <w:rStyle w:val="Hyperlink"/>
          <w:rFonts w:asciiTheme="majorBidi" w:hAnsiTheme="majorBidi" w:cstheme="majorBidi"/>
          <w:b/>
          <w:bCs/>
          <w:lang w:val="zh-CN"/>
        </w:rPr>
        <w:instrText xml:space="preserve"> HYPERLINK "mailto:rizafahmi571@gmail.com" </w:instrText>
      </w:r>
      <w:r w:rsidR="00407E10">
        <w:rPr>
          <w:rStyle w:val="Hyperlink"/>
          <w:rFonts w:asciiTheme="majorBidi" w:hAnsiTheme="majorBidi" w:cstheme="majorBidi"/>
          <w:b/>
          <w:bCs/>
          <w:lang w:val="zh-CN"/>
        </w:rPr>
        <w:fldChar w:fldCharType="separate"/>
      </w:r>
      <w:r>
        <w:rPr>
          <w:rStyle w:val="Hyperlink"/>
          <w:rFonts w:asciiTheme="majorBidi" w:hAnsiTheme="majorBidi" w:cstheme="majorBidi"/>
          <w:b/>
          <w:bCs/>
          <w:lang w:val="zh-CN"/>
        </w:rPr>
        <w:t>rizafahmi571@gmail.com</w:t>
      </w:r>
      <w:r w:rsidR="00407E10">
        <w:rPr>
          <w:rStyle w:val="Hyperlink"/>
          <w:rFonts w:asciiTheme="majorBidi" w:hAnsiTheme="majorBidi" w:cstheme="majorBidi"/>
          <w:b/>
          <w:bCs/>
          <w:lang w:val="zh-CN"/>
        </w:rPr>
        <w:fldChar w:fldCharType="end"/>
      </w:r>
    </w:p>
    <w:p w:rsidR="00BE0A70" w:rsidRPr="00BE0A70" w:rsidRDefault="00BE0A70" w:rsidP="00BE0A70">
      <w:pPr>
        <w:spacing w:after="0" w:line="240" w:lineRule="auto"/>
        <w:jc w:val="center"/>
        <w:rPr>
          <w:rFonts w:ascii="Times New Roman" w:eastAsia="Times New Roman" w:hAnsi="Times New Roman" w:cs="Times New Roman"/>
          <w:kern w:val="0"/>
          <w:lang w:eastAsia="id-ID"/>
          <w14:ligatures w14:val="none"/>
        </w:rPr>
      </w:pPr>
    </w:p>
    <w:p w:rsidR="00BE0A70" w:rsidRDefault="00BE0A70">
      <w:pPr>
        <w:jc w:val="center"/>
        <w:rPr>
          <w:rFonts w:asciiTheme="majorBidi" w:hAnsiTheme="majorBidi" w:cstheme="majorBidi"/>
        </w:rPr>
      </w:pPr>
    </w:p>
    <w:p w:rsidR="00BC5B32" w:rsidRDefault="00093074">
      <w:pPr>
        <w:jc w:val="center"/>
        <w:rPr>
          <w:rFonts w:asciiTheme="majorBidi" w:hAnsiTheme="majorBidi" w:cstheme="majorBidi"/>
          <w:b/>
          <w:bCs/>
        </w:rPr>
      </w:pPr>
      <w:r>
        <w:rPr>
          <w:rFonts w:asciiTheme="majorBidi" w:hAnsiTheme="majorBidi" w:cstheme="majorBidi"/>
          <w:b/>
          <w:bCs/>
        </w:rPr>
        <w:t>Abstract:</w:t>
      </w:r>
    </w:p>
    <w:p w:rsidR="00BC5B32" w:rsidRPr="00566E7E" w:rsidRDefault="00093074">
      <w:pPr>
        <w:jc w:val="both"/>
        <w:rPr>
          <w:rFonts w:asciiTheme="majorBidi" w:hAnsiTheme="majorBidi" w:cstheme="majorBidi"/>
          <w:sz w:val="22"/>
          <w:szCs w:val="22"/>
        </w:rPr>
      </w:pPr>
      <w:r w:rsidRPr="00566E7E">
        <w:rPr>
          <w:rFonts w:asciiTheme="majorBidi" w:hAnsiTheme="majorBidi" w:cstheme="majorBidi"/>
          <w:sz w:val="22"/>
          <w:szCs w:val="22"/>
        </w:rPr>
        <w:t xml:space="preserve">This study examines the 17th-century trade and customs of </w:t>
      </w:r>
      <w:proofErr w:type="spellStart"/>
      <w:r w:rsidRPr="00566E7E">
        <w:rPr>
          <w:rFonts w:asciiTheme="majorBidi" w:hAnsiTheme="majorBidi" w:cstheme="majorBidi"/>
          <w:sz w:val="22"/>
          <w:szCs w:val="22"/>
        </w:rPr>
        <w:t>Bantenese</w:t>
      </w:r>
      <w:proofErr w:type="spellEnd"/>
      <w:r w:rsidRPr="00566E7E">
        <w:rPr>
          <w:rFonts w:asciiTheme="majorBidi" w:hAnsiTheme="majorBidi" w:cstheme="majorBidi"/>
          <w:sz w:val="22"/>
          <w:szCs w:val="22"/>
        </w:rPr>
        <w:t xml:space="preserve"> society that shaped its socioeconomic identity. It is suspected that local traditions, stemming from the community's indigenous knowledge and Islamic teachings, shaped the economic work ethic of farmers and traders.</w:t>
      </w:r>
      <w:r w:rsidR="00FE4B01">
        <w:rPr>
          <w:rFonts w:asciiTheme="majorBidi" w:hAnsiTheme="majorBidi" w:cstheme="majorBidi"/>
          <w:sz w:val="22"/>
          <w:szCs w:val="22"/>
        </w:rPr>
        <w:t xml:space="preserve"> </w:t>
      </w:r>
      <w:r w:rsidRPr="00566E7E">
        <w:rPr>
          <w:rFonts w:asciiTheme="majorBidi" w:hAnsiTheme="majorBidi" w:cstheme="majorBidi"/>
          <w:sz w:val="22"/>
          <w:szCs w:val="22"/>
        </w:rPr>
        <w:t xml:space="preserve">This study uses historical research methods, including the analysis of primary sources, such as Portuguese, Dutch, and British travel records, as well as local manuscripts, such as </w:t>
      </w:r>
      <w:proofErr w:type="spellStart"/>
      <w:r w:rsidRPr="00566E7E">
        <w:rPr>
          <w:rFonts w:asciiTheme="majorBidi" w:hAnsiTheme="majorBidi" w:cstheme="majorBidi"/>
          <w:sz w:val="22"/>
          <w:szCs w:val="22"/>
        </w:rPr>
        <w:t>Hikayat</w:t>
      </w:r>
      <w:proofErr w:type="spellEnd"/>
      <w:r w:rsidRPr="00566E7E">
        <w:rPr>
          <w:rFonts w:asciiTheme="majorBidi" w:hAnsiTheme="majorBidi" w:cstheme="majorBidi"/>
          <w:sz w:val="22"/>
          <w:szCs w:val="22"/>
        </w:rPr>
        <w:t xml:space="preserve"> </w:t>
      </w:r>
      <w:proofErr w:type="spellStart"/>
      <w:r w:rsidRPr="00566E7E">
        <w:rPr>
          <w:rFonts w:asciiTheme="majorBidi" w:hAnsiTheme="majorBidi" w:cstheme="majorBidi"/>
          <w:sz w:val="22"/>
          <w:szCs w:val="22"/>
        </w:rPr>
        <w:t>Hasanuddin</w:t>
      </w:r>
      <w:proofErr w:type="spellEnd"/>
      <w:r w:rsidRPr="00566E7E">
        <w:rPr>
          <w:rFonts w:asciiTheme="majorBidi" w:hAnsiTheme="majorBidi" w:cstheme="majorBidi"/>
          <w:sz w:val="22"/>
          <w:szCs w:val="22"/>
        </w:rPr>
        <w:t>, to reconstruct the trading activities, commercial networks, and cultural practices that developed in 17th-century Banten. A multidisciplinary approach incorporating political economy and historical anthropology is employed to understand the interaction between global forces and local traditions.</w:t>
      </w:r>
      <w:r w:rsidR="00FE4B01">
        <w:rPr>
          <w:rFonts w:asciiTheme="majorBidi" w:hAnsiTheme="majorBidi" w:cstheme="majorBidi"/>
          <w:sz w:val="22"/>
          <w:szCs w:val="22"/>
        </w:rPr>
        <w:t xml:space="preserve"> </w:t>
      </w:r>
      <w:r w:rsidRPr="00566E7E">
        <w:rPr>
          <w:rFonts w:asciiTheme="majorBidi" w:hAnsiTheme="majorBidi" w:cstheme="majorBidi"/>
          <w:sz w:val="22"/>
          <w:szCs w:val="22"/>
        </w:rPr>
        <w:t xml:space="preserve">The research findings show that Banten functioned as a trading hub for spices, textiles, and other goods. The organized market system, or bazaar, reflected a hierarchical social structure in which the ruling elite and merchants played a central role. Customs such as the long </w:t>
      </w:r>
      <w:proofErr w:type="spellStart"/>
      <w:r w:rsidRPr="00566E7E">
        <w:rPr>
          <w:rFonts w:asciiTheme="majorBidi" w:hAnsiTheme="majorBidi" w:cstheme="majorBidi"/>
          <w:sz w:val="22"/>
          <w:szCs w:val="22"/>
        </w:rPr>
        <w:t>Mulud</w:t>
      </w:r>
      <w:proofErr w:type="spellEnd"/>
      <w:r w:rsidRPr="00566E7E">
        <w:rPr>
          <w:rFonts w:asciiTheme="majorBidi" w:hAnsiTheme="majorBidi" w:cstheme="majorBidi"/>
          <w:sz w:val="22"/>
          <w:szCs w:val="22"/>
        </w:rPr>
        <w:t xml:space="preserve"> ceremony and </w:t>
      </w:r>
      <w:proofErr w:type="spellStart"/>
      <w:r w:rsidRPr="00566E7E">
        <w:rPr>
          <w:rFonts w:asciiTheme="majorBidi" w:hAnsiTheme="majorBidi" w:cstheme="majorBidi"/>
          <w:sz w:val="22"/>
          <w:szCs w:val="22"/>
        </w:rPr>
        <w:t>kaget</w:t>
      </w:r>
      <w:proofErr w:type="spellEnd"/>
      <w:r w:rsidRPr="00566E7E">
        <w:rPr>
          <w:rFonts w:asciiTheme="majorBidi" w:hAnsiTheme="majorBidi" w:cstheme="majorBidi"/>
          <w:sz w:val="22"/>
          <w:szCs w:val="22"/>
        </w:rPr>
        <w:t xml:space="preserve"> markets reinforced the integration of economic activity with Islamic beliefs and Javanese traditions. Additionally, interaction with </w:t>
      </w:r>
      <w:r w:rsidRPr="00566E7E">
        <w:rPr>
          <w:rFonts w:asciiTheme="majorBidi" w:hAnsiTheme="majorBidi" w:cstheme="majorBidi"/>
          <w:sz w:val="22"/>
          <w:szCs w:val="22"/>
        </w:rPr>
        <w:lastRenderedPageBreak/>
        <w:t>Europeans, particularly the Dutch and British, created tensions and acculturation in commercial and cultural systems.</w:t>
      </w:r>
      <w:r w:rsidR="00FE4B01">
        <w:rPr>
          <w:rFonts w:asciiTheme="majorBidi" w:hAnsiTheme="majorBidi" w:cstheme="majorBidi"/>
          <w:sz w:val="22"/>
          <w:szCs w:val="22"/>
        </w:rPr>
        <w:t xml:space="preserve"> </w:t>
      </w:r>
      <w:r w:rsidRPr="00566E7E">
        <w:rPr>
          <w:rFonts w:asciiTheme="majorBidi" w:hAnsiTheme="majorBidi" w:cstheme="majorBidi"/>
          <w:sz w:val="22"/>
          <w:szCs w:val="22"/>
        </w:rPr>
        <w:t>In conclusion, the expression of traditions in the economic field, derived from local teachings and Islamic law, influenced the trading ecosystem of the 17th-century Banten market.</w:t>
      </w:r>
    </w:p>
    <w:p w:rsidR="00BC5B32" w:rsidRPr="00333475" w:rsidRDefault="00093074">
      <w:pPr>
        <w:jc w:val="both"/>
        <w:rPr>
          <w:rFonts w:asciiTheme="majorBidi" w:hAnsiTheme="majorBidi" w:cstheme="majorBidi"/>
          <w:bCs/>
          <w:i/>
          <w:iCs/>
          <w:sz w:val="22"/>
          <w:szCs w:val="22"/>
        </w:rPr>
      </w:pPr>
      <w:r w:rsidRPr="00566E7E">
        <w:rPr>
          <w:rFonts w:asciiTheme="majorBidi" w:hAnsiTheme="majorBidi" w:cstheme="majorBidi"/>
          <w:b/>
          <w:bCs/>
          <w:i/>
          <w:iCs/>
          <w:sz w:val="22"/>
          <w:szCs w:val="22"/>
        </w:rPr>
        <w:t xml:space="preserve">Keywords: </w:t>
      </w:r>
      <w:r w:rsidRPr="00333475">
        <w:rPr>
          <w:rFonts w:asciiTheme="majorBidi" w:hAnsiTheme="majorBidi" w:cstheme="majorBidi"/>
          <w:bCs/>
          <w:i/>
          <w:iCs/>
          <w:sz w:val="22"/>
          <w:szCs w:val="22"/>
        </w:rPr>
        <w:t>economic dynamics, trading traditions, Banten market, Banten Sultanate</w:t>
      </w:r>
    </w:p>
    <w:p w:rsidR="00333475" w:rsidRPr="00333475" w:rsidRDefault="00333475" w:rsidP="00BE0A70">
      <w:pPr>
        <w:spacing w:after="0" w:line="360" w:lineRule="auto"/>
        <w:jc w:val="center"/>
        <w:rPr>
          <w:rFonts w:ascii="Times New Roman" w:hAnsi="Times New Roman" w:cs="Times New Roman"/>
          <w:b/>
          <w:lang w:val="id-ID" w:eastAsia="id-ID"/>
          <w14:ligatures w14:val="none"/>
        </w:rPr>
      </w:pPr>
      <w:proofErr w:type="spellStart"/>
      <w:r w:rsidRPr="00333475">
        <w:rPr>
          <w:rFonts w:ascii="Times New Roman" w:hAnsi="Times New Roman" w:cs="Times New Roman"/>
          <w:b/>
          <w:bCs/>
        </w:rPr>
        <w:t>Abstrak</w:t>
      </w:r>
      <w:proofErr w:type="spellEnd"/>
      <w:r w:rsidRPr="00333475">
        <w:rPr>
          <w:rFonts w:ascii="Times New Roman" w:hAnsi="Times New Roman" w:cs="Times New Roman"/>
          <w:b/>
        </w:rPr>
        <w:t xml:space="preserve"> </w:t>
      </w:r>
    </w:p>
    <w:p w:rsidR="00333475" w:rsidRPr="00BE0A70" w:rsidRDefault="00333475" w:rsidP="00BE0A70">
      <w:pPr>
        <w:spacing w:after="0" w:line="360" w:lineRule="auto"/>
        <w:jc w:val="both"/>
        <w:rPr>
          <w:rFonts w:ascii="Times New Roman" w:hAnsi="Times New Roman" w:cs="Times New Roman"/>
          <w:sz w:val="22"/>
          <w:szCs w:val="22"/>
        </w:rPr>
      </w:pPr>
      <w:proofErr w:type="spellStart"/>
      <w:r w:rsidRPr="00BE0A70">
        <w:rPr>
          <w:rFonts w:ascii="Times New Roman" w:hAnsi="Times New Roman" w:cs="Times New Roman"/>
          <w:sz w:val="22"/>
          <w:szCs w:val="22"/>
        </w:rPr>
        <w:t>Penelitian</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ini</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mengkaji</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dinamika</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perdagangan</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dan</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adat</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istiadat</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masyarakat</w:t>
      </w:r>
      <w:proofErr w:type="spellEnd"/>
      <w:r w:rsidRPr="00BE0A70">
        <w:rPr>
          <w:rFonts w:ascii="Times New Roman" w:hAnsi="Times New Roman" w:cs="Times New Roman"/>
          <w:sz w:val="22"/>
          <w:szCs w:val="22"/>
        </w:rPr>
        <w:t xml:space="preserve"> Banten </w:t>
      </w:r>
      <w:proofErr w:type="spellStart"/>
      <w:r w:rsidRPr="00BE0A70">
        <w:rPr>
          <w:rFonts w:ascii="Times New Roman" w:hAnsi="Times New Roman" w:cs="Times New Roman"/>
          <w:sz w:val="22"/>
          <w:szCs w:val="22"/>
        </w:rPr>
        <w:t>pada</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abad</w:t>
      </w:r>
      <w:proofErr w:type="spellEnd"/>
      <w:r w:rsidRPr="00BE0A70">
        <w:rPr>
          <w:rFonts w:ascii="Times New Roman" w:hAnsi="Times New Roman" w:cs="Times New Roman"/>
          <w:sz w:val="22"/>
          <w:szCs w:val="22"/>
        </w:rPr>
        <w:t xml:space="preserve"> 17 yang </w:t>
      </w:r>
      <w:proofErr w:type="spellStart"/>
      <w:r w:rsidRPr="00BE0A70">
        <w:rPr>
          <w:rFonts w:ascii="Times New Roman" w:hAnsi="Times New Roman" w:cs="Times New Roman"/>
          <w:sz w:val="22"/>
          <w:szCs w:val="22"/>
        </w:rPr>
        <w:t>membentuk</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identitas</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sosial-ekonominya</w:t>
      </w:r>
      <w:proofErr w:type="spellEnd"/>
      <w:r w:rsidRPr="00BE0A70">
        <w:rPr>
          <w:rFonts w:ascii="Times New Roman" w:hAnsi="Times New Roman" w:cs="Times New Roman"/>
          <w:sz w:val="22"/>
          <w:szCs w:val="22"/>
        </w:rPr>
        <w:t xml:space="preserve">. </w:t>
      </w:r>
      <w:proofErr w:type="spellStart"/>
      <w:r w:rsidR="00570C71">
        <w:rPr>
          <w:rFonts w:ascii="Times New Roman" w:hAnsi="Times New Roman" w:cs="Times New Roman"/>
          <w:sz w:val="22"/>
          <w:szCs w:val="22"/>
        </w:rPr>
        <w:t>Adanya</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tradisi</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lokal</w:t>
      </w:r>
      <w:proofErr w:type="spellEnd"/>
      <w:r w:rsidRPr="00BE0A70">
        <w:rPr>
          <w:rFonts w:ascii="Times New Roman" w:hAnsi="Times New Roman" w:cs="Times New Roman"/>
          <w:sz w:val="22"/>
          <w:szCs w:val="22"/>
        </w:rPr>
        <w:t xml:space="preserve"> yang </w:t>
      </w:r>
      <w:proofErr w:type="spellStart"/>
      <w:r w:rsidRPr="00BE0A70">
        <w:rPr>
          <w:rFonts w:ascii="Times New Roman" w:hAnsi="Times New Roman" w:cs="Times New Roman"/>
          <w:sz w:val="22"/>
          <w:szCs w:val="22"/>
        </w:rPr>
        <w:t>bersumber</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dari</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lokal</w:t>
      </w:r>
      <w:proofErr w:type="spellEnd"/>
      <w:r w:rsidRPr="00BE0A70">
        <w:rPr>
          <w:rFonts w:ascii="Times New Roman" w:hAnsi="Times New Roman" w:cs="Times New Roman"/>
          <w:sz w:val="22"/>
          <w:szCs w:val="22"/>
        </w:rPr>
        <w:t xml:space="preserve"> genius </w:t>
      </w:r>
      <w:proofErr w:type="spellStart"/>
      <w:r w:rsidRPr="00BE0A70">
        <w:rPr>
          <w:rFonts w:ascii="Times New Roman" w:hAnsi="Times New Roman" w:cs="Times New Roman"/>
          <w:sz w:val="22"/>
          <w:szCs w:val="22"/>
        </w:rPr>
        <w:t>masyarakat</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dan</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ajaran</w:t>
      </w:r>
      <w:proofErr w:type="spellEnd"/>
      <w:r w:rsidRPr="00BE0A70">
        <w:rPr>
          <w:rFonts w:ascii="Times New Roman" w:hAnsi="Times New Roman" w:cs="Times New Roman"/>
          <w:sz w:val="22"/>
          <w:szCs w:val="22"/>
        </w:rPr>
        <w:t xml:space="preserve"> Islam yang </w:t>
      </w:r>
      <w:proofErr w:type="spellStart"/>
      <w:r w:rsidRPr="00BE0A70">
        <w:rPr>
          <w:rFonts w:ascii="Times New Roman" w:hAnsi="Times New Roman" w:cs="Times New Roman"/>
          <w:sz w:val="22"/>
          <w:szCs w:val="22"/>
        </w:rPr>
        <w:t>membentuk</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etos</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kerja</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perekonomian</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petani</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dan</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pedagang</w:t>
      </w:r>
      <w:proofErr w:type="spellEnd"/>
      <w:r w:rsidRPr="00BE0A70">
        <w:rPr>
          <w:rFonts w:ascii="Times New Roman" w:hAnsi="Times New Roman" w:cs="Times New Roman"/>
          <w:sz w:val="22"/>
          <w:szCs w:val="22"/>
        </w:rPr>
        <w:t xml:space="preserve">. </w:t>
      </w:r>
      <w:proofErr w:type="spellStart"/>
      <w:r w:rsidR="00FE4B01">
        <w:rPr>
          <w:rFonts w:ascii="Times New Roman" w:hAnsi="Times New Roman" w:cs="Times New Roman"/>
          <w:sz w:val="22"/>
          <w:szCs w:val="22"/>
        </w:rPr>
        <w:t>Penelitian</w:t>
      </w:r>
      <w:proofErr w:type="spellEnd"/>
      <w:r w:rsidR="00FE4B01">
        <w:rPr>
          <w:rFonts w:ascii="Times New Roman" w:hAnsi="Times New Roman" w:cs="Times New Roman"/>
          <w:sz w:val="22"/>
          <w:szCs w:val="22"/>
        </w:rPr>
        <w:t xml:space="preserve"> </w:t>
      </w:r>
      <w:proofErr w:type="spellStart"/>
      <w:r w:rsidR="00FE4B01">
        <w:rPr>
          <w:rFonts w:ascii="Times New Roman" w:hAnsi="Times New Roman" w:cs="Times New Roman"/>
          <w:sz w:val="22"/>
          <w:szCs w:val="22"/>
        </w:rPr>
        <w:t>ini</w:t>
      </w:r>
      <w:proofErr w:type="spellEnd"/>
      <w:r w:rsidR="00FE4B01">
        <w:rPr>
          <w:rFonts w:ascii="Times New Roman" w:hAnsi="Times New Roman" w:cs="Times New Roman"/>
          <w:sz w:val="22"/>
          <w:szCs w:val="22"/>
        </w:rPr>
        <w:t xml:space="preserve"> </w:t>
      </w:r>
      <w:proofErr w:type="spellStart"/>
      <w:r w:rsidR="00FE4B01">
        <w:rPr>
          <w:rFonts w:ascii="Times New Roman" w:hAnsi="Times New Roman" w:cs="Times New Roman"/>
          <w:sz w:val="22"/>
          <w:szCs w:val="22"/>
        </w:rPr>
        <w:t>menggunakan</w:t>
      </w:r>
      <w:proofErr w:type="spellEnd"/>
      <w:r w:rsidR="00FE4B01">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metode</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penelitian</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sejarah</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termasuk</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analisis</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sumber</w:t>
      </w:r>
      <w:proofErr w:type="spellEnd"/>
      <w:r w:rsidRPr="00BE0A70">
        <w:rPr>
          <w:rFonts w:ascii="Times New Roman" w:hAnsi="Times New Roman" w:cs="Times New Roman"/>
          <w:sz w:val="22"/>
          <w:szCs w:val="22"/>
        </w:rPr>
        <w:t xml:space="preserve"> primer </w:t>
      </w:r>
      <w:proofErr w:type="spellStart"/>
      <w:r w:rsidRPr="00BE0A70">
        <w:rPr>
          <w:rFonts w:ascii="Times New Roman" w:hAnsi="Times New Roman" w:cs="Times New Roman"/>
          <w:sz w:val="22"/>
          <w:szCs w:val="22"/>
        </w:rPr>
        <w:t>seperti</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catatan</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perjalanan</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Portugis</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Belanda</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dan</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Inggris</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serta</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naskah</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lokal</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seperti</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i/>
          <w:iCs/>
          <w:sz w:val="22"/>
          <w:szCs w:val="22"/>
        </w:rPr>
        <w:t>Hikayat</w:t>
      </w:r>
      <w:proofErr w:type="spellEnd"/>
      <w:r w:rsidRPr="00BE0A70">
        <w:rPr>
          <w:rFonts w:ascii="Times New Roman" w:hAnsi="Times New Roman" w:cs="Times New Roman"/>
          <w:i/>
          <w:iCs/>
          <w:sz w:val="22"/>
          <w:szCs w:val="22"/>
        </w:rPr>
        <w:t xml:space="preserve"> </w:t>
      </w:r>
      <w:proofErr w:type="spellStart"/>
      <w:r w:rsidRPr="00BE0A70">
        <w:rPr>
          <w:rFonts w:ascii="Times New Roman" w:hAnsi="Times New Roman" w:cs="Times New Roman"/>
          <w:i/>
          <w:iCs/>
          <w:sz w:val="22"/>
          <w:szCs w:val="22"/>
        </w:rPr>
        <w:t>Hasanuddin</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penelitian</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ini</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merekonstruksi</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aktivitas</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perdagangan</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jaringan</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komersial</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dan</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praktik</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budaya</w:t>
      </w:r>
      <w:proofErr w:type="spellEnd"/>
      <w:r w:rsidRPr="00BE0A70">
        <w:rPr>
          <w:rFonts w:ascii="Times New Roman" w:hAnsi="Times New Roman" w:cs="Times New Roman"/>
          <w:sz w:val="22"/>
          <w:szCs w:val="22"/>
        </w:rPr>
        <w:t xml:space="preserve"> yang </w:t>
      </w:r>
      <w:proofErr w:type="spellStart"/>
      <w:r w:rsidRPr="00BE0A70">
        <w:rPr>
          <w:rFonts w:ascii="Times New Roman" w:hAnsi="Times New Roman" w:cs="Times New Roman"/>
          <w:sz w:val="22"/>
          <w:szCs w:val="22"/>
        </w:rPr>
        <w:t>berkembang</w:t>
      </w:r>
      <w:proofErr w:type="spellEnd"/>
      <w:r w:rsidRPr="00BE0A70">
        <w:rPr>
          <w:rFonts w:ascii="Times New Roman" w:hAnsi="Times New Roman" w:cs="Times New Roman"/>
          <w:sz w:val="22"/>
          <w:szCs w:val="22"/>
        </w:rPr>
        <w:t xml:space="preserve"> di Banten </w:t>
      </w:r>
      <w:proofErr w:type="spellStart"/>
      <w:r w:rsidRPr="00BE0A70">
        <w:rPr>
          <w:rFonts w:ascii="Times New Roman" w:hAnsi="Times New Roman" w:cs="Times New Roman"/>
          <w:sz w:val="22"/>
          <w:szCs w:val="22"/>
        </w:rPr>
        <w:t>pada</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abad</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ke</w:t>
      </w:r>
      <w:proofErr w:type="spellEnd"/>
      <w:r w:rsidRPr="00BE0A70">
        <w:rPr>
          <w:rFonts w:ascii="Times New Roman" w:hAnsi="Times New Roman" w:cs="Times New Roman"/>
          <w:sz w:val="22"/>
          <w:szCs w:val="22"/>
        </w:rPr>
        <w:t xml:space="preserve"> 17. </w:t>
      </w:r>
      <w:proofErr w:type="spellStart"/>
      <w:r w:rsidRPr="00BE0A70">
        <w:rPr>
          <w:rFonts w:ascii="Times New Roman" w:hAnsi="Times New Roman" w:cs="Times New Roman"/>
          <w:sz w:val="22"/>
          <w:szCs w:val="22"/>
        </w:rPr>
        <w:t>Pendekatan</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multidisipliner</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termasuk</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ekonomi</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politik</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dan</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antropologi</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sejarah</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digunakan</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untuk</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memahami</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interaksi</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antara</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kekuatan</w:t>
      </w:r>
      <w:proofErr w:type="spellEnd"/>
      <w:r w:rsidRPr="00BE0A70">
        <w:rPr>
          <w:rFonts w:ascii="Times New Roman" w:hAnsi="Times New Roman" w:cs="Times New Roman"/>
          <w:sz w:val="22"/>
          <w:szCs w:val="22"/>
        </w:rPr>
        <w:t xml:space="preserve"> global </w:t>
      </w:r>
      <w:proofErr w:type="spellStart"/>
      <w:r w:rsidRPr="00BE0A70">
        <w:rPr>
          <w:rFonts w:ascii="Times New Roman" w:hAnsi="Times New Roman" w:cs="Times New Roman"/>
          <w:sz w:val="22"/>
          <w:szCs w:val="22"/>
        </w:rPr>
        <w:t>dan</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tradisi</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lokal</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Temuan</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penelitian</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menunjukkan</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bahwa</w:t>
      </w:r>
      <w:proofErr w:type="spellEnd"/>
      <w:r w:rsidRPr="00BE0A70">
        <w:rPr>
          <w:rFonts w:ascii="Times New Roman" w:hAnsi="Times New Roman" w:cs="Times New Roman"/>
          <w:sz w:val="22"/>
          <w:szCs w:val="22"/>
        </w:rPr>
        <w:t xml:space="preserve"> Banten </w:t>
      </w:r>
      <w:proofErr w:type="spellStart"/>
      <w:r w:rsidRPr="00BE0A70">
        <w:rPr>
          <w:rFonts w:ascii="Times New Roman" w:hAnsi="Times New Roman" w:cs="Times New Roman"/>
          <w:sz w:val="22"/>
          <w:szCs w:val="22"/>
        </w:rPr>
        <w:t>berfungsi</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sebagai</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i/>
          <w:iCs/>
          <w:sz w:val="22"/>
          <w:szCs w:val="22"/>
        </w:rPr>
        <w:t>entrepôt</w:t>
      </w:r>
      <w:proofErr w:type="spellEnd"/>
      <w:r w:rsidRPr="00BE0A70">
        <w:rPr>
          <w:rFonts w:ascii="Times New Roman" w:hAnsi="Times New Roman" w:cs="Times New Roman"/>
          <w:sz w:val="22"/>
          <w:szCs w:val="22"/>
        </w:rPr>
        <w:t xml:space="preserve"> yang </w:t>
      </w:r>
      <w:proofErr w:type="spellStart"/>
      <w:r w:rsidRPr="00BE0A70">
        <w:rPr>
          <w:rFonts w:ascii="Times New Roman" w:hAnsi="Times New Roman" w:cs="Times New Roman"/>
          <w:sz w:val="22"/>
          <w:szCs w:val="22"/>
        </w:rPr>
        <w:t>menghubungkan</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perdagangan</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rempah</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tekstil</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dan</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komoditas</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lainnya</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Sistem</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pasar</w:t>
      </w:r>
      <w:proofErr w:type="spellEnd"/>
      <w:r w:rsidRPr="00BE0A70">
        <w:rPr>
          <w:rFonts w:ascii="Times New Roman" w:hAnsi="Times New Roman" w:cs="Times New Roman"/>
          <w:sz w:val="22"/>
          <w:szCs w:val="22"/>
        </w:rPr>
        <w:t xml:space="preserve"> (</w:t>
      </w:r>
      <w:r w:rsidRPr="00BE0A70">
        <w:rPr>
          <w:rFonts w:ascii="Times New Roman" w:hAnsi="Times New Roman" w:cs="Times New Roman"/>
          <w:i/>
          <w:iCs/>
          <w:sz w:val="22"/>
          <w:szCs w:val="22"/>
        </w:rPr>
        <w:t>bazaar</w:t>
      </w:r>
      <w:r w:rsidRPr="00BE0A70">
        <w:rPr>
          <w:rFonts w:ascii="Times New Roman" w:hAnsi="Times New Roman" w:cs="Times New Roman"/>
          <w:sz w:val="22"/>
          <w:szCs w:val="22"/>
        </w:rPr>
        <w:t xml:space="preserve">) yang </w:t>
      </w:r>
      <w:proofErr w:type="spellStart"/>
      <w:r w:rsidRPr="00BE0A70">
        <w:rPr>
          <w:rFonts w:ascii="Times New Roman" w:hAnsi="Times New Roman" w:cs="Times New Roman"/>
          <w:sz w:val="22"/>
          <w:szCs w:val="22"/>
        </w:rPr>
        <w:t>terorganisir</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mencerminkan</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struktur</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sosial</w:t>
      </w:r>
      <w:proofErr w:type="spellEnd"/>
      <w:r w:rsidRPr="00BE0A70">
        <w:rPr>
          <w:rFonts w:ascii="Times New Roman" w:hAnsi="Times New Roman" w:cs="Times New Roman"/>
          <w:sz w:val="22"/>
          <w:szCs w:val="22"/>
        </w:rPr>
        <w:t xml:space="preserve"> yang </w:t>
      </w:r>
      <w:proofErr w:type="spellStart"/>
      <w:r w:rsidRPr="00BE0A70">
        <w:rPr>
          <w:rFonts w:ascii="Times New Roman" w:hAnsi="Times New Roman" w:cs="Times New Roman"/>
          <w:sz w:val="22"/>
          <w:szCs w:val="22"/>
        </w:rPr>
        <w:t>hierarkis</w:t>
      </w:r>
      <w:proofErr w:type="spellEnd"/>
      <w:r w:rsidRPr="00BE0A70">
        <w:rPr>
          <w:rFonts w:ascii="Times New Roman" w:hAnsi="Times New Roman" w:cs="Times New Roman"/>
          <w:sz w:val="22"/>
          <w:szCs w:val="22"/>
        </w:rPr>
        <w:t xml:space="preserve">, di mana elite </w:t>
      </w:r>
      <w:proofErr w:type="spellStart"/>
      <w:r w:rsidRPr="00BE0A70">
        <w:rPr>
          <w:rFonts w:ascii="Times New Roman" w:hAnsi="Times New Roman" w:cs="Times New Roman"/>
          <w:sz w:val="22"/>
          <w:szCs w:val="22"/>
        </w:rPr>
        <w:t>penguasa</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dan</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saudagar</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memainkan</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peran</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sentral</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Adat</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istiadat</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seperti</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upacara</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i/>
          <w:iCs/>
          <w:sz w:val="22"/>
          <w:szCs w:val="22"/>
        </w:rPr>
        <w:t>panjang</w:t>
      </w:r>
      <w:proofErr w:type="spellEnd"/>
      <w:r w:rsidRPr="00BE0A70">
        <w:rPr>
          <w:rFonts w:ascii="Times New Roman" w:hAnsi="Times New Roman" w:cs="Times New Roman"/>
          <w:i/>
          <w:iCs/>
          <w:sz w:val="22"/>
          <w:szCs w:val="22"/>
        </w:rPr>
        <w:t xml:space="preserve"> </w:t>
      </w:r>
      <w:proofErr w:type="spellStart"/>
      <w:r w:rsidRPr="00BE0A70">
        <w:rPr>
          <w:rFonts w:ascii="Times New Roman" w:hAnsi="Times New Roman" w:cs="Times New Roman"/>
          <w:i/>
          <w:iCs/>
          <w:sz w:val="22"/>
          <w:szCs w:val="22"/>
        </w:rPr>
        <w:t>mulud</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dan</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praktik</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i/>
          <w:iCs/>
          <w:sz w:val="22"/>
          <w:szCs w:val="22"/>
        </w:rPr>
        <w:t>pasar</w:t>
      </w:r>
      <w:proofErr w:type="spellEnd"/>
      <w:r w:rsidRPr="00BE0A70">
        <w:rPr>
          <w:rFonts w:ascii="Times New Roman" w:hAnsi="Times New Roman" w:cs="Times New Roman"/>
          <w:i/>
          <w:iCs/>
          <w:sz w:val="22"/>
          <w:szCs w:val="22"/>
        </w:rPr>
        <w:t xml:space="preserve"> </w:t>
      </w:r>
      <w:proofErr w:type="spellStart"/>
      <w:r w:rsidRPr="00BE0A70">
        <w:rPr>
          <w:rFonts w:ascii="Times New Roman" w:hAnsi="Times New Roman" w:cs="Times New Roman"/>
          <w:i/>
          <w:iCs/>
          <w:sz w:val="22"/>
          <w:szCs w:val="22"/>
        </w:rPr>
        <w:t>kaget</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memperkuat</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integrasi</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antara</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aktivitas</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ekonomi</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dan</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kepercayaan</w:t>
      </w:r>
      <w:proofErr w:type="spellEnd"/>
      <w:r w:rsidRPr="00BE0A70">
        <w:rPr>
          <w:rFonts w:ascii="Times New Roman" w:hAnsi="Times New Roman" w:cs="Times New Roman"/>
          <w:sz w:val="22"/>
          <w:szCs w:val="22"/>
        </w:rPr>
        <w:t xml:space="preserve"> Islam </w:t>
      </w:r>
      <w:proofErr w:type="spellStart"/>
      <w:r w:rsidRPr="00BE0A70">
        <w:rPr>
          <w:rFonts w:ascii="Times New Roman" w:hAnsi="Times New Roman" w:cs="Times New Roman"/>
          <w:sz w:val="22"/>
          <w:szCs w:val="22"/>
        </w:rPr>
        <w:t>serta</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tradisi</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Jawa</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Selain</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itu</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interaksi</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dengan</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bangsa</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Eropa</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khususnya</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Belanda</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dan</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Inggris</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menciptakan</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ketegangan</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sekaligus</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akulturasi</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dalam</w:t>
      </w:r>
      <w:proofErr w:type="spellEnd"/>
      <w:r w:rsidRPr="00BE0A70">
        <w:rPr>
          <w:rFonts w:ascii="Times New Roman" w:hAnsi="Times New Roman" w:cs="Times New Roman"/>
          <w:sz w:val="22"/>
          <w:szCs w:val="22"/>
        </w:rPr>
        <w:t xml:space="preserve"> tata </w:t>
      </w:r>
      <w:proofErr w:type="spellStart"/>
      <w:r w:rsidRPr="00BE0A70">
        <w:rPr>
          <w:rFonts w:ascii="Times New Roman" w:hAnsi="Times New Roman" w:cs="Times New Roman"/>
          <w:sz w:val="22"/>
          <w:szCs w:val="22"/>
        </w:rPr>
        <w:t>niaga</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dan</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budaya</w:t>
      </w:r>
      <w:proofErr w:type="spellEnd"/>
      <w:r w:rsidRPr="00BE0A70">
        <w:rPr>
          <w:rFonts w:ascii="Times New Roman" w:hAnsi="Times New Roman" w:cs="Times New Roman"/>
          <w:sz w:val="22"/>
          <w:szCs w:val="22"/>
        </w:rPr>
        <w:t>.</w:t>
      </w:r>
      <w:r w:rsidR="00FE4B01">
        <w:rPr>
          <w:rFonts w:ascii="Times New Roman" w:hAnsi="Times New Roman" w:cs="Times New Roman"/>
          <w:sz w:val="22"/>
          <w:szCs w:val="22"/>
        </w:rPr>
        <w:t xml:space="preserve"> Kesimpulan, </w:t>
      </w:r>
      <w:proofErr w:type="spellStart"/>
      <w:r w:rsidR="00570C71">
        <w:rPr>
          <w:rFonts w:ascii="Times New Roman" w:hAnsi="Times New Roman" w:cs="Times New Roman"/>
          <w:sz w:val="22"/>
          <w:szCs w:val="22"/>
        </w:rPr>
        <w:t>penelitian</w:t>
      </w:r>
      <w:proofErr w:type="spellEnd"/>
      <w:r w:rsidR="00570C71">
        <w:rPr>
          <w:rFonts w:ascii="Times New Roman" w:hAnsi="Times New Roman" w:cs="Times New Roman"/>
          <w:sz w:val="22"/>
          <w:szCs w:val="22"/>
        </w:rPr>
        <w:t xml:space="preserve"> </w:t>
      </w:r>
      <w:proofErr w:type="spellStart"/>
      <w:r w:rsidR="00570C71">
        <w:rPr>
          <w:rFonts w:ascii="Times New Roman" w:hAnsi="Times New Roman" w:cs="Times New Roman"/>
          <w:sz w:val="22"/>
          <w:szCs w:val="22"/>
        </w:rPr>
        <w:t>ini</w:t>
      </w:r>
      <w:proofErr w:type="spellEnd"/>
      <w:r w:rsidR="00570C71">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tentang</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adanya</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ekspresi</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tradisi</w:t>
      </w:r>
      <w:proofErr w:type="spellEnd"/>
      <w:r w:rsidRPr="00BE0A70">
        <w:rPr>
          <w:rFonts w:ascii="Times New Roman" w:hAnsi="Times New Roman" w:cs="Times New Roman"/>
          <w:sz w:val="22"/>
          <w:szCs w:val="22"/>
        </w:rPr>
        <w:t xml:space="preserve"> di </w:t>
      </w:r>
      <w:proofErr w:type="spellStart"/>
      <w:r w:rsidRPr="00BE0A70">
        <w:rPr>
          <w:rFonts w:ascii="Times New Roman" w:hAnsi="Times New Roman" w:cs="Times New Roman"/>
          <w:sz w:val="22"/>
          <w:szCs w:val="22"/>
        </w:rPr>
        <w:t>bidang</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perekonomian</w:t>
      </w:r>
      <w:proofErr w:type="spellEnd"/>
      <w:r w:rsidRPr="00BE0A70">
        <w:rPr>
          <w:rFonts w:ascii="Times New Roman" w:hAnsi="Times New Roman" w:cs="Times New Roman"/>
          <w:sz w:val="22"/>
          <w:szCs w:val="22"/>
        </w:rPr>
        <w:t xml:space="preserve"> yang </w:t>
      </w:r>
      <w:proofErr w:type="spellStart"/>
      <w:r w:rsidRPr="00BE0A70">
        <w:rPr>
          <w:rFonts w:ascii="Times New Roman" w:hAnsi="Times New Roman" w:cs="Times New Roman"/>
          <w:sz w:val="22"/>
          <w:szCs w:val="22"/>
        </w:rPr>
        <w:t>bersumber</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dari</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ajaran</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lokal</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dan</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hukum</w:t>
      </w:r>
      <w:proofErr w:type="spellEnd"/>
      <w:r w:rsidRPr="00BE0A70">
        <w:rPr>
          <w:rFonts w:ascii="Times New Roman" w:hAnsi="Times New Roman" w:cs="Times New Roman"/>
          <w:sz w:val="22"/>
          <w:szCs w:val="22"/>
        </w:rPr>
        <w:t xml:space="preserve"> Islam </w:t>
      </w:r>
      <w:proofErr w:type="spellStart"/>
      <w:r w:rsidRPr="00BE0A70">
        <w:rPr>
          <w:rFonts w:ascii="Times New Roman" w:hAnsi="Times New Roman" w:cs="Times New Roman"/>
          <w:sz w:val="22"/>
          <w:szCs w:val="22"/>
        </w:rPr>
        <w:t>mempunyai</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pengaruh</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dalam</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ekosistem</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perdagangan</w:t>
      </w:r>
      <w:proofErr w:type="spellEnd"/>
      <w:r w:rsidRPr="00BE0A70">
        <w:rPr>
          <w:rFonts w:ascii="Times New Roman" w:hAnsi="Times New Roman" w:cs="Times New Roman"/>
          <w:sz w:val="22"/>
          <w:szCs w:val="22"/>
        </w:rPr>
        <w:t xml:space="preserve"> di </w:t>
      </w:r>
      <w:proofErr w:type="spellStart"/>
      <w:r w:rsidRPr="00BE0A70">
        <w:rPr>
          <w:rFonts w:ascii="Times New Roman" w:hAnsi="Times New Roman" w:cs="Times New Roman"/>
          <w:sz w:val="22"/>
          <w:szCs w:val="22"/>
        </w:rPr>
        <w:t>pasar</w:t>
      </w:r>
      <w:proofErr w:type="spellEnd"/>
      <w:r w:rsidRPr="00BE0A70">
        <w:rPr>
          <w:rFonts w:ascii="Times New Roman" w:hAnsi="Times New Roman" w:cs="Times New Roman"/>
          <w:sz w:val="22"/>
          <w:szCs w:val="22"/>
        </w:rPr>
        <w:t xml:space="preserve"> Banten </w:t>
      </w:r>
      <w:proofErr w:type="spellStart"/>
      <w:r w:rsidRPr="00BE0A70">
        <w:rPr>
          <w:rFonts w:ascii="Times New Roman" w:hAnsi="Times New Roman" w:cs="Times New Roman"/>
          <w:sz w:val="22"/>
          <w:szCs w:val="22"/>
        </w:rPr>
        <w:t>abad</w:t>
      </w:r>
      <w:proofErr w:type="spellEnd"/>
      <w:r w:rsidRPr="00BE0A70">
        <w:rPr>
          <w:rFonts w:ascii="Times New Roman" w:hAnsi="Times New Roman" w:cs="Times New Roman"/>
          <w:sz w:val="22"/>
          <w:szCs w:val="22"/>
        </w:rPr>
        <w:t xml:space="preserve"> 17. </w:t>
      </w:r>
    </w:p>
    <w:p w:rsidR="00333475" w:rsidRPr="00BE0A70" w:rsidRDefault="00333475" w:rsidP="00BE0A70">
      <w:pPr>
        <w:spacing w:after="0"/>
        <w:rPr>
          <w:rFonts w:ascii="DengXian" w:hAnsi="DengXian" w:cs="Arial"/>
          <w:sz w:val="22"/>
          <w:szCs w:val="22"/>
        </w:rPr>
      </w:pPr>
      <w:r w:rsidRPr="00BE0A70">
        <w:rPr>
          <w:rFonts w:ascii="Times New Roman" w:hAnsi="Times New Roman" w:cs="Times New Roman"/>
          <w:b/>
          <w:bCs/>
          <w:sz w:val="22"/>
          <w:szCs w:val="22"/>
        </w:rPr>
        <w:t xml:space="preserve">Kata </w:t>
      </w:r>
      <w:proofErr w:type="spellStart"/>
      <w:r w:rsidRPr="00BE0A70">
        <w:rPr>
          <w:rFonts w:ascii="Times New Roman" w:hAnsi="Times New Roman" w:cs="Times New Roman"/>
          <w:b/>
          <w:bCs/>
          <w:sz w:val="22"/>
          <w:szCs w:val="22"/>
        </w:rPr>
        <w:t>kunci</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sz w:val="22"/>
          <w:szCs w:val="22"/>
        </w:rPr>
        <w:t>dinamika</w:t>
      </w:r>
      <w:proofErr w:type="spellEnd"/>
      <w:r w:rsidRPr="00BE0A70">
        <w:rPr>
          <w:rFonts w:ascii="Times New Roman" w:hAnsi="Times New Roman" w:cs="Times New Roman"/>
          <w:sz w:val="22"/>
          <w:szCs w:val="22"/>
        </w:rPr>
        <w:t xml:space="preserve"> </w:t>
      </w:r>
      <w:proofErr w:type="spellStart"/>
      <w:r w:rsidRPr="00BE0A70">
        <w:rPr>
          <w:rFonts w:ascii="Times New Roman" w:hAnsi="Times New Roman" w:cs="Times New Roman"/>
          <w:color w:val="000000"/>
          <w:sz w:val="22"/>
          <w:szCs w:val="22"/>
        </w:rPr>
        <w:t>ekonomi</w:t>
      </w:r>
      <w:proofErr w:type="spellEnd"/>
      <w:r w:rsidRPr="00BE0A70">
        <w:rPr>
          <w:rFonts w:ascii="Times New Roman" w:hAnsi="Times New Roman" w:cs="Times New Roman"/>
          <w:color w:val="000000"/>
          <w:sz w:val="22"/>
          <w:szCs w:val="22"/>
        </w:rPr>
        <w:t xml:space="preserve">, </w:t>
      </w:r>
      <w:proofErr w:type="spellStart"/>
      <w:r w:rsidRPr="00BE0A70">
        <w:rPr>
          <w:rFonts w:ascii="Times New Roman" w:hAnsi="Times New Roman" w:cs="Times New Roman"/>
          <w:color w:val="000000"/>
          <w:sz w:val="22"/>
          <w:szCs w:val="22"/>
        </w:rPr>
        <w:t>tradisi</w:t>
      </w:r>
      <w:proofErr w:type="spellEnd"/>
      <w:r w:rsidRPr="00BE0A70">
        <w:rPr>
          <w:rFonts w:ascii="Times New Roman" w:hAnsi="Times New Roman" w:cs="Times New Roman"/>
          <w:color w:val="000000"/>
          <w:sz w:val="22"/>
          <w:szCs w:val="22"/>
        </w:rPr>
        <w:t xml:space="preserve"> </w:t>
      </w:r>
      <w:proofErr w:type="spellStart"/>
      <w:r w:rsidRPr="00BE0A70">
        <w:rPr>
          <w:rFonts w:ascii="Times New Roman" w:hAnsi="Times New Roman" w:cs="Times New Roman"/>
          <w:color w:val="000000"/>
          <w:sz w:val="22"/>
          <w:szCs w:val="22"/>
        </w:rPr>
        <w:t>perdagangan</w:t>
      </w:r>
      <w:proofErr w:type="spellEnd"/>
      <w:r w:rsidRPr="00BE0A70">
        <w:rPr>
          <w:rFonts w:ascii="Times New Roman" w:hAnsi="Times New Roman" w:cs="Times New Roman"/>
          <w:color w:val="000000"/>
          <w:sz w:val="22"/>
          <w:szCs w:val="22"/>
        </w:rPr>
        <w:t xml:space="preserve">, </w:t>
      </w:r>
      <w:proofErr w:type="spellStart"/>
      <w:r w:rsidRPr="00BE0A70">
        <w:rPr>
          <w:rFonts w:ascii="Times New Roman" w:hAnsi="Times New Roman" w:cs="Times New Roman"/>
          <w:color w:val="000000"/>
          <w:sz w:val="22"/>
          <w:szCs w:val="22"/>
        </w:rPr>
        <w:t>pasar</w:t>
      </w:r>
      <w:proofErr w:type="spellEnd"/>
      <w:r w:rsidRPr="00BE0A70">
        <w:rPr>
          <w:rFonts w:ascii="Times New Roman" w:hAnsi="Times New Roman" w:cs="Times New Roman"/>
          <w:color w:val="000000"/>
          <w:sz w:val="22"/>
          <w:szCs w:val="22"/>
        </w:rPr>
        <w:t xml:space="preserve"> Banten, </w:t>
      </w:r>
      <w:proofErr w:type="spellStart"/>
      <w:r w:rsidRPr="00BE0A70">
        <w:rPr>
          <w:rFonts w:ascii="Times New Roman" w:hAnsi="Times New Roman" w:cs="Times New Roman"/>
          <w:color w:val="000000"/>
          <w:sz w:val="22"/>
          <w:szCs w:val="22"/>
        </w:rPr>
        <w:t>Kesultanan</w:t>
      </w:r>
      <w:proofErr w:type="spellEnd"/>
      <w:r w:rsidRPr="00BE0A70">
        <w:rPr>
          <w:rFonts w:ascii="Times New Roman" w:hAnsi="Times New Roman" w:cs="Times New Roman"/>
          <w:color w:val="000000"/>
          <w:sz w:val="22"/>
          <w:szCs w:val="22"/>
        </w:rPr>
        <w:t xml:space="preserve"> Banten </w:t>
      </w:r>
    </w:p>
    <w:p w:rsidR="0096746C" w:rsidRPr="00566E7E" w:rsidRDefault="0096746C">
      <w:pPr>
        <w:jc w:val="both"/>
        <w:rPr>
          <w:rFonts w:asciiTheme="majorBidi" w:hAnsiTheme="majorBidi" w:cstheme="majorBidi"/>
          <w:b/>
          <w:bCs/>
          <w:i/>
          <w:iCs/>
          <w:sz w:val="22"/>
          <w:szCs w:val="22"/>
        </w:rPr>
      </w:pPr>
    </w:p>
    <w:p w:rsidR="00BC5B32" w:rsidRDefault="00093074">
      <w:pPr>
        <w:jc w:val="both"/>
        <w:rPr>
          <w:rFonts w:asciiTheme="majorBidi" w:hAnsiTheme="majorBidi" w:cstheme="majorBidi"/>
        </w:rPr>
      </w:pPr>
      <w:r>
        <w:rPr>
          <w:rFonts w:asciiTheme="majorBidi" w:hAnsiTheme="majorBidi" w:cstheme="majorBidi"/>
        </w:rPr>
        <w:t>Introduction:</w:t>
      </w:r>
    </w:p>
    <w:p w:rsidR="00BC5B32" w:rsidRDefault="00093074">
      <w:pPr>
        <w:jc w:val="both"/>
        <w:rPr>
          <w:rFonts w:asciiTheme="majorBidi" w:hAnsiTheme="majorBidi" w:cstheme="majorBidi"/>
        </w:rPr>
      </w:pPr>
      <w:r>
        <w:rPr>
          <w:rFonts w:asciiTheme="majorBidi" w:hAnsiTheme="majorBidi" w:cstheme="majorBidi"/>
        </w:rPr>
        <w:t xml:space="preserve">The 17th-century Sultanate of Banten straddled the western tip of Java Island and sat on the banks of the </w:t>
      </w:r>
      <w:proofErr w:type="spellStart"/>
      <w:r>
        <w:rPr>
          <w:rFonts w:asciiTheme="majorBidi" w:hAnsiTheme="majorBidi" w:cstheme="majorBidi"/>
        </w:rPr>
        <w:t>Sunda</w:t>
      </w:r>
      <w:proofErr w:type="spellEnd"/>
      <w:r>
        <w:rPr>
          <w:rFonts w:asciiTheme="majorBidi" w:hAnsiTheme="majorBidi" w:cstheme="majorBidi"/>
        </w:rPr>
        <w:t xml:space="preserve"> Strait. This pulsating sea corridor served as the lifeline of trade between the Indian Ocean and the South China Sea. Its geographical location was like a golden gateway, inviting European, Chinese, and Gujarati fleets to dock at its bustling harbor. Beyond the glittering docks, green pepper fields stretched out, supporting the Sultanate's reputation as a spice granary that tantalized the world market. The sparkling strait was more than just a body of water; it was a connecting rope that made Banten a mosaic of maritime trade in Southeast Asia (Maulana, 2024; </w:t>
      </w:r>
      <w:proofErr w:type="spellStart"/>
      <w:r>
        <w:rPr>
          <w:rFonts w:asciiTheme="majorBidi" w:hAnsiTheme="majorBidi" w:cstheme="majorBidi"/>
        </w:rPr>
        <w:t>Rismawidiawati</w:t>
      </w:r>
      <w:proofErr w:type="spellEnd"/>
      <w:r>
        <w:rPr>
          <w:rFonts w:asciiTheme="majorBidi" w:hAnsiTheme="majorBidi" w:cstheme="majorBidi"/>
        </w:rPr>
        <w:t>, 2023).</w:t>
      </w:r>
    </w:p>
    <w:p w:rsidR="00BC5B32" w:rsidRDefault="00093074">
      <w:pPr>
        <w:jc w:val="both"/>
        <w:rPr>
          <w:rFonts w:asciiTheme="majorBidi" w:hAnsiTheme="majorBidi" w:cstheme="majorBidi"/>
        </w:rPr>
      </w:pPr>
      <w:r>
        <w:rPr>
          <w:rFonts w:asciiTheme="majorBidi" w:hAnsiTheme="majorBidi" w:cstheme="majorBidi"/>
        </w:rPr>
        <w:t xml:space="preserve">Politically, Banten gracefully navigated between regional intrigue and European colonial ambition. Under the leadership of an authoritative sultan, the sultanate engaged in diplomacy like a game of chess, forming alliances with the British while withstanding pressure from the Dutch and Portuguese. Its navy guarded the waters and asserted sovereignty amid waves of competition. Through strategic intelligence, Banten maintained its prominence, establishing </w:t>
      </w:r>
      <w:r>
        <w:rPr>
          <w:rFonts w:asciiTheme="majorBidi" w:hAnsiTheme="majorBidi" w:cstheme="majorBidi"/>
        </w:rPr>
        <w:lastRenderedPageBreak/>
        <w:t xml:space="preserve">itself not only as a port but also as a robust political stronghold amidst the 17th-century power struggles (Frank, 2021; </w:t>
      </w:r>
      <w:proofErr w:type="spellStart"/>
      <w:r>
        <w:rPr>
          <w:rFonts w:asciiTheme="majorBidi" w:hAnsiTheme="majorBidi" w:cstheme="majorBidi"/>
        </w:rPr>
        <w:t>Faizin</w:t>
      </w:r>
      <w:proofErr w:type="spellEnd"/>
      <w:r>
        <w:rPr>
          <w:rFonts w:asciiTheme="majorBidi" w:hAnsiTheme="majorBidi" w:cstheme="majorBidi"/>
        </w:rPr>
        <w:t>, 2023).</w:t>
      </w:r>
    </w:p>
    <w:p w:rsidR="00BC5B32" w:rsidRDefault="00093074">
      <w:pPr>
        <w:jc w:val="both"/>
        <w:rPr>
          <w:rFonts w:asciiTheme="majorBidi" w:hAnsiTheme="majorBidi" w:cstheme="majorBidi"/>
        </w:rPr>
      </w:pPr>
      <w:r>
        <w:rPr>
          <w:rFonts w:asciiTheme="majorBidi" w:hAnsiTheme="majorBidi" w:cstheme="majorBidi"/>
        </w:rPr>
        <w:t xml:space="preserve">In the past, Banten's economy showed significant dynamics of international trade. Its port served as a major trading center where traders from various parts of the world, from Venice to Fujian, traded commodities such as spices, cloth, and gold (Reid, 1990). Pepper, the leading commodity, flowed from the hinterland, becoming a major source of revenue for the sultanate and strengthening its position in the global trade network. Despite the intense international trade, Banten maintained local economic activities through the agricultural and handicraft sectors. However, threats from the </w:t>
      </w:r>
      <w:proofErr w:type="spellStart"/>
      <w:r>
        <w:rPr>
          <w:rFonts w:asciiTheme="majorBidi" w:hAnsiTheme="majorBidi" w:cstheme="majorBidi"/>
        </w:rPr>
        <w:t>Vereenigde</w:t>
      </w:r>
      <w:proofErr w:type="spellEnd"/>
      <w:r>
        <w:rPr>
          <w:rFonts w:asciiTheme="majorBidi" w:hAnsiTheme="majorBidi" w:cstheme="majorBidi"/>
        </w:rPr>
        <w:t xml:space="preserve"> Oost-</w:t>
      </w:r>
      <w:proofErr w:type="spellStart"/>
      <w:r>
        <w:rPr>
          <w:rFonts w:asciiTheme="majorBidi" w:hAnsiTheme="majorBidi" w:cstheme="majorBidi"/>
        </w:rPr>
        <w:t>Indische</w:t>
      </w:r>
      <w:proofErr w:type="spellEnd"/>
      <w:r>
        <w:rPr>
          <w:rFonts w:asciiTheme="majorBidi" w:hAnsiTheme="majorBidi" w:cstheme="majorBidi"/>
        </w:rPr>
        <w:t xml:space="preserve"> Compagnie (VOC) began to emerge, challenging the Sultanate of Banten's economic sovereignty amid global competition for control of the spice trade route (A. R. </w:t>
      </w:r>
      <w:proofErr w:type="spellStart"/>
      <w:r>
        <w:rPr>
          <w:rFonts w:asciiTheme="majorBidi" w:hAnsiTheme="majorBidi" w:cstheme="majorBidi"/>
        </w:rPr>
        <w:t>Krisnadi</w:t>
      </w:r>
      <w:proofErr w:type="spellEnd"/>
      <w:r>
        <w:rPr>
          <w:rFonts w:asciiTheme="majorBidi" w:hAnsiTheme="majorBidi" w:cstheme="majorBidi"/>
        </w:rPr>
        <w:t>, 2024).</w:t>
      </w:r>
    </w:p>
    <w:p w:rsidR="00BC5B32" w:rsidRDefault="00093074">
      <w:pPr>
        <w:jc w:val="both"/>
        <w:rPr>
          <w:rFonts w:asciiTheme="majorBidi" w:hAnsiTheme="majorBidi" w:cstheme="majorBidi"/>
        </w:rPr>
      </w:pPr>
      <w:r>
        <w:rPr>
          <w:rFonts w:asciiTheme="majorBidi" w:hAnsiTheme="majorBidi" w:cstheme="majorBidi"/>
        </w:rPr>
        <w:t>The topic of trade in the Banten Sultanate is a well-known subject that has been studied by many historians. Aziz and his colleagues wrote about Sultan Haji's (r. 1683–1687) strategy to counter the divide-and-conquer strategy of the VOC (Dutch East India Company), a Dutch trading partnership with a strong presence in the Java Sea. During the 17th and 18th centuries, the archipelago became a major player in the global spice trade. Commodities such as cloves, nutmeg, and pepper attracted traders and empires from around the world. Pepper became the pride of the Sultanate of Banten, making its port the center of economic activity and political intrigue. The pepper fields stretching across the fertile hinterland produced a valuable commodity that filled the royal coffers and placed Banten in an intricate web of international diplomacy. Ambassadors from Europe and Asia competed for alliances with the sultan, making pepper a valuable commodity that solidified the sultanate's position in Southeast Asia. However, behind the glamour, pepper also sowed the seeds of conflict, inviting colonial encroachment that destabilized the sultanate.</w:t>
      </w:r>
    </w:p>
    <w:p w:rsidR="00BC5B32" w:rsidRDefault="00093074">
      <w:pPr>
        <w:jc w:val="both"/>
        <w:rPr>
          <w:rFonts w:asciiTheme="majorBidi" w:hAnsiTheme="majorBidi" w:cstheme="majorBidi"/>
        </w:rPr>
      </w:pPr>
      <w:r>
        <w:rPr>
          <w:rFonts w:asciiTheme="majorBidi" w:hAnsiTheme="majorBidi" w:cstheme="majorBidi"/>
        </w:rPr>
        <w:t xml:space="preserve">While the pepper trade brought prosperity, it also became a double-edged sword for Banten, especially when the VOC arrived at the end of the 17th century. The VOC used a divide-and-conquer strategy, capitalizing on a rift in the Banten court and triggering a succession crisis between Sultan </w:t>
      </w:r>
      <w:proofErr w:type="spellStart"/>
      <w:r>
        <w:rPr>
          <w:rFonts w:asciiTheme="majorBidi" w:hAnsiTheme="majorBidi" w:cstheme="majorBidi"/>
        </w:rPr>
        <w:t>Ageng</w:t>
      </w:r>
      <w:proofErr w:type="spellEnd"/>
      <w:r>
        <w:rPr>
          <w:rFonts w:asciiTheme="majorBidi" w:hAnsiTheme="majorBidi" w:cstheme="majorBidi"/>
        </w:rPr>
        <w:t xml:space="preserve"> </w:t>
      </w:r>
      <w:proofErr w:type="spellStart"/>
      <w:r>
        <w:rPr>
          <w:rFonts w:asciiTheme="majorBidi" w:hAnsiTheme="majorBidi" w:cstheme="majorBidi"/>
        </w:rPr>
        <w:t>Tirtayas</w:t>
      </w:r>
      <w:proofErr w:type="spellEnd"/>
      <w:r>
        <w:rPr>
          <w:rFonts w:asciiTheme="majorBidi" w:hAnsiTheme="majorBidi" w:cstheme="majorBidi"/>
        </w:rPr>
        <w:t xml:space="preserve"> and his son, Sultan Haji. In 1684, Sultan Haji, enticed by the prospect of power, made a deal with the VOC. He relinquished the monopoly on the pepper trade in exchange for support in usurping his father's throne. This agreement transformed pepper from a symbol of sovereignty into a tool of foreign conquest, reshaping the political landscape of Banten. The trade that had been the foundation of independence now ensnared the sultanate in a colonial grip, reflecting the delicate balance between wealth and power.</w:t>
      </w:r>
    </w:p>
    <w:p w:rsidR="00BC5B32" w:rsidRDefault="00093074">
      <w:pPr>
        <w:jc w:val="both"/>
        <w:rPr>
          <w:rFonts w:asciiTheme="majorBidi" w:hAnsiTheme="majorBidi" w:cstheme="majorBidi"/>
        </w:rPr>
      </w:pPr>
      <w:r>
        <w:rPr>
          <w:rFonts w:asciiTheme="majorBidi" w:hAnsiTheme="majorBidi" w:cstheme="majorBidi"/>
        </w:rPr>
        <w:t xml:space="preserve">Aziz's research uses a qualitative approach based on historical methods and political economy theory to trace the complicated story of the pepper trade's role in Banten's fate before and after VOC interference. Using the stages of heuristics, verification, interpretation, and historiography, the study traces the economic and political impact of the pepper trade, ranging from market frenzy to royal intrigue. Through a political lens, the analysis reveals how the policy of the pepper trade in Banten influenced the succession of Sultan Haji and facilitated the VOC's monopoly. The research maps the mechanisms of trade and illustrates the dynamics </w:t>
      </w:r>
      <w:r>
        <w:rPr>
          <w:rFonts w:asciiTheme="majorBidi" w:hAnsiTheme="majorBidi" w:cstheme="majorBidi"/>
        </w:rPr>
        <w:lastRenderedPageBreak/>
        <w:t>of power, economic systems, and public policies that shaped Banten's journey amid the maelstrom of global ambitions and colonial pressures (</w:t>
      </w:r>
      <w:proofErr w:type="spellStart"/>
      <w:r>
        <w:rPr>
          <w:rFonts w:asciiTheme="majorBidi" w:hAnsiTheme="majorBidi" w:cstheme="majorBidi"/>
        </w:rPr>
        <w:t>Prabaswara</w:t>
      </w:r>
      <w:proofErr w:type="spellEnd"/>
      <w:r>
        <w:rPr>
          <w:rFonts w:asciiTheme="majorBidi" w:hAnsiTheme="majorBidi" w:cstheme="majorBidi"/>
        </w:rPr>
        <w:t>, 2024).</w:t>
      </w:r>
    </w:p>
    <w:p w:rsidR="00BC5B32" w:rsidRDefault="00093074">
      <w:pPr>
        <w:jc w:val="both"/>
        <w:rPr>
          <w:rFonts w:asciiTheme="majorBidi" w:hAnsiTheme="majorBidi" w:cstheme="majorBidi"/>
        </w:rPr>
      </w:pPr>
      <w:r>
        <w:rPr>
          <w:rFonts w:asciiTheme="majorBidi" w:hAnsiTheme="majorBidi" w:cstheme="majorBidi"/>
        </w:rPr>
        <w:t xml:space="preserve">On a smaller scale, Abd Rahman Hamid discusses the pepper trade between Lampung and Banten from the 16th to 18th centuries. During this period, Lampung became one of the most important pepper trading centers in the Nusantara shipping network, playing a significant role in regional and international trade dynamics. Its strategic geographical position on the </w:t>
      </w:r>
      <w:proofErr w:type="spellStart"/>
      <w:r>
        <w:rPr>
          <w:rFonts w:asciiTheme="majorBidi" w:hAnsiTheme="majorBidi" w:cstheme="majorBidi"/>
        </w:rPr>
        <w:t>Sunda</w:t>
      </w:r>
      <w:proofErr w:type="spellEnd"/>
      <w:r>
        <w:rPr>
          <w:rFonts w:asciiTheme="majorBidi" w:hAnsiTheme="majorBidi" w:cstheme="majorBidi"/>
        </w:rPr>
        <w:t xml:space="preserve"> Strait shipping route made Lampung a vital node, especially after the Portuguese took control of Malacca in 1511, diverting trade flows to the western region of the archipelago. Banten, the main international port on the </w:t>
      </w:r>
      <w:proofErr w:type="spellStart"/>
      <w:r>
        <w:rPr>
          <w:rFonts w:asciiTheme="majorBidi" w:hAnsiTheme="majorBidi" w:cstheme="majorBidi"/>
        </w:rPr>
        <w:t>Sunda</w:t>
      </w:r>
      <w:proofErr w:type="spellEnd"/>
      <w:r>
        <w:rPr>
          <w:rFonts w:asciiTheme="majorBidi" w:hAnsiTheme="majorBidi" w:cstheme="majorBidi"/>
        </w:rPr>
        <w:t xml:space="preserve"> Strait, depended on pepper supplies from Lampung because its fertile soil produced this valuable commodity. Not only did pepper production in Lampung support the local economy, it also attracted the attention of colonial powers such as the Dutch and the British. These powers raced to utilize ports such as Batavia and Bengkulu to access Lampung pepper, making the region an arena for fierce trade competition.</w:t>
      </w:r>
    </w:p>
    <w:p w:rsidR="00BC5B32" w:rsidRDefault="00093074">
      <w:pPr>
        <w:jc w:val="both"/>
        <w:rPr>
          <w:rFonts w:asciiTheme="majorBidi" w:hAnsiTheme="majorBidi" w:cstheme="majorBidi"/>
        </w:rPr>
      </w:pPr>
      <w:r>
        <w:rPr>
          <w:rFonts w:asciiTheme="majorBidi" w:hAnsiTheme="majorBidi" w:cstheme="majorBidi"/>
        </w:rPr>
        <w:t>During this period, the pepper production system in Lampung was supported by an organized agrarian structure involving local farmers and intensive land management to meet surging market demand. Before the second half of the 17th century, Lampung's pepper trade network was closely intertwined with those of Banten and Palembang, forming a strong economic alliance in the archipelago. However, after the Dutch consolidated their control over Batavia and the British established Bengkulu as a trading hub, the trade network's pattern shifted. Colonization brought significant changes, and Lampung became more integrated into a global trading system dominated by European powers. Various parties, ranging from local traders to European trading companies, employed various tactics, from diplomacy to military pressure to secure pepper supplies, underscoring the strategic importance of this commodity in the global economy.</w:t>
      </w:r>
    </w:p>
    <w:p w:rsidR="00BC5B32" w:rsidRDefault="00BC5B32">
      <w:pPr>
        <w:jc w:val="both"/>
        <w:rPr>
          <w:rFonts w:asciiTheme="majorBidi" w:hAnsiTheme="majorBidi" w:cstheme="majorBidi"/>
        </w:rPr>
      </w:pPr>
    </w:p>
    <w:p w:rsidR="00BC5B32" w:rsidRDefault="00093074">
      <w:pPr>
        <w:jc w:val="both"/>
        <w:rPr>
          <w:rFonts w:asciiTheme="majorBidi" w:hAnsiTheme="majorBidi" w:cstheme="majorBidi"/>
        </w:rPr>
      </w:pPr>
      <w:r>
        <w:rPr>
          <w:rFonts w:asciiTheme="majorBidi" w:hAnsiTheme="majorBidi" w:cstheme="majorBidi"/>
        </w:rPr>
        <w:t>Hamid's research employs a historical method that utilizes the stages of heuristics, source criticism, interpretation, and historiography. This method reveals that the region's history has been predominantly influenced by Lampung pepper for the past two centuries. A comprehensive review of local and foreign sources, encompassing voyage records and colonial documents, reveals that pepper functioned not only as a commodity but also as a political and economic instrument, contributing to the shaping of inter-regional relations. Lampung, with its four trade networks (Banten, Palembang, Batavia, and Bengkulu), offers a compelling case study of the shifting dynamics of maritime trade in Nusantara under colonial pressure. The role that the province of Lampung plays in supporting major ports and fulfilling international markets has cemented its position as a key element in the history of trade in Southeast Asia. This highlights the potential of a single commodity to change the fortunes of a region on the world stage (Hamid, 2024).</w:t>
      </w:r>
    </w:p>
    <w:p w:rsidR="00BC5B32" w:rsidRDefault="00093074">
      <w:pPr>
        <w:jc w:val="both"/>
        <w:rPr>
          <w:rFonts w:asciiTheme="majorBidi" w:hAnsiTheme="majorBidi" w:cstheme="majorBidi"/>
        </w:rPr>
      </w:pPr>
      <w:r>
        <w:rPr>
          <w:rFonts w:asciiTheme="majorBidi" w:hAnsiTheme="majorBidi" w:cstheme="majorBidi"/>
        </w:rPr>
        <w:t xml:space="preserve">While it offers a substantial collection of materials and references concerning the living traditions of </w:t>
      </w:r>
      <w:proofErr w:type="spellStart"/>
      <w:r>
        <w:rPr>
          <w:rFonts w:asciiTheme="majorBidi" w:hAnsiTheme="majorBidi" w:cstheme="majorBidi"/>
        </w:rPr>
        <w:t>Bantenese</w:t>
      </w:r>
      <w:proofErr w:type="spellEnd"/>
      <w:r>
        <w:rPr>
          <w:rFonts w:asciiTheme="majorBidi" w:hAnsiTheme="majorBidi" w:cstheme="majorBidi"/>
        </w:rPr>
        <w:t xml:space="preserve"> society, particularly the </w:t>
      </w:r>
      <w:proofErr w:type="spellStart"/>
      <w:r>
        <w:rPr>
          <w:rFonts w:asciiTheme="majorBidi" w:hAnsiTheme="majorBidi" w:cstheme="majorBidi"/>
        </w:rPr>
        <w:t>Baduy</w:t>
      </w:r>
      <w:proofErr w:type="spellEnd"/>
      <w:r>
        <w:rPr>
          <w:rFonts w:asciiTheme="majorBidi" w:hAnsiTheme="majorBidi" w:cstheme="majorBidi"/>
        </w:rPr>
        <w:t xml:space="preserve">, it does not yet encompass the communities inhabiting the coastal regions of Banten, particularly those engaged in inter-island trade during the 17th century. This research addresses precisely that theme, which has not been </w:t>
      </w:r>
      <w:r>
        <w:rPr>
          <w:rFonts w:asciiTheme="majorBidi" w:hAnsiTheme="majorBidi" w:cstheme="majorBidi"/>
        </w:rPr>
        <w:lastRenderedPageBreak/>
        <w:t xml:space="preserve">considered a major discussion by previous writers. It is hypothesized that this theme will offer a novel perspective on the manner in which coastal communities in Banten managed their trade, a perspective derived from the diversity of traditions stemming from economic and political elements. Accordingly, the present research endeavors to examine more precise issues concerning the manner in which coastal communities in Banten managed their commercial activities. These efforts are grounded in the rich tapestry of traditions that draw from both Islamic tenets and indigenous local wisdom, which have been inextricably intertwined with the cultural fabric of 17th-century </w:t>
      </w:r>
      <w:proofErr w:type="spellStart"/>
      <w:r>
        <w:rPr>
          <w:rFonts w:asciiTheme="majorBidi" w:hAnsiTheme="majorBidi" w:cstheme="majorBidi"/>
        </w:rPr>
        <w:t>Bantenese</w:t>
      </w:r>
      <w:proofErr w:type="spellEnd"/>
      <w:r>
        <w:rPr>
          <w:rFonts w:asciiTheme="majorBidi" w:hAnsiTheme="majorBidi" w:cstheme="majorBidi"/>
        </w:rPr>
        <w:t xml:space="preserve"> society.</w:t>
      </w:r>
    </w:p>
    <w:p w:rsidR="00BC5B32" w:rsidRDefault="00093074">
      <w:pPr>
        <w:jc w:val="center"/>
        <w:rPr>
          <w:rFonts w:asciiTheme="majorBidi" w:hAnsiTheme="majorBidi" w:cstheme="majorBidi"/>
          <w:b/>
          <w:bCs/>
        </w:rPr>
      </w:pPr>
      <w:r>
        <w:rPr>
          <w:rFonts w:asciiTheme="majorBidi" w:hAnsiTheme="majorBidi" w:cstheme="majorBidi"/>
          <w:b/>
          <w:bCs/>
        </w:rPr>
        <w:t>Methodology</w:t>
      </w:r>
    </w:p>
    <w:p w:rsidR="00BC5B32" w:rsidRDefault="00093074">
      <w:pPr>
        <w:jc w:val="both"/>
        <w:rPr>
          <w:rFonts w:asciiTheme="majorBidi" w:hAnsiTheme="majorBidi" w:cstheme="majorBidi"/>
        </w:rPr>
      </w:pPr>
      <w:r>
        <w:rPr>
          <w:rFonts w:asciiTheme="majorBidi" w:hAnsiTheme="majorBidi" w:cstheme="majorBidi"/>
        </w:rPr>
        <w:t xml:space="preserve">This study employs a four-stage historical research method, encompassing source finding, source criticism, data analysis, and historical writing, thereby offering a systematic approach to understanding the dynamics of trade and culture in Banten in the 17th century (Vergeer, 2024). The initial stage, source finding, established a significant foundation for this study. Researchers collected primary sources, including European travelers' accounts (e.g., reports by Cornelis de </w:t>
      </w:r>
      <w:proofErr w:type="spellStart"/>
      <w:r>
        <w:rPr>
          <w:rFonts w:asciiTheme="majorBidi" w:hAnsiTheme="majorBidi" w:cstheme="majorBidi"/>
        </w:rPr>
        <w:t>Houtman</w:t>
      </w:r>
      <w:proofErr w:type="spellEnd"/>
      <w:r>
        <w:rPr>
          <w:rFonts w:asciiTheme="majorBidi" w:hAnsiTheme="majorBidi" w:cstheme="majorBidi"/>
        </w:rPr>
        <w:t xml:space="preserve"> or Francis Drake), Banten Sultanate documents, and material artifacts such as Chinese ceramics and "Ki </w:t>
      </w:r>
      <w:proofErr w:type="spellStart"/>
      <w:r>
        <w:rPr>
          <w:rFonts w:asciiTheme="majorBidi" w:hAnsiTheme="majorBidi" w:cstheme="majorBidi"/>
        </w:rPr>
        <w:t>Amuk</w:t>
      </w:r>
      <w:proofErr w:type="spellEnd"/>
      <w:r>
        <w:rPr>
          <w:rFonts w:asciiTheme="majorBidi" w:hAnsiTheme="majorBidi" w:cstheme="majorBidi"/>
        </w:rPr>
        <w:t>" cannons, which reflect cultural interactions. Secondary sources, including the works of modern historians and archaeological analysis, contribute to a more comprehensive historical context. This process is crucial to ensure the completeness of the data, although the challenge lies in the limitations of local written sources from the period, which often rely on foreign perspectives, requiring caution in interpretation (Bhat, 2023).</w:t>
      </w:r>
    </w:p>
    <w:p w:rsidR="00BC5B32" w:rsidRDefault="00093074">
      <w:pPr>
        <w:jc w:val="both"/>
        <w:rPr>
          <w:rFonts w:asciiTheme="majorBidi" w:hAnsiTheme="majorBidi" w:cstheme="majorBidi"/>
        </w:rPr>
      </w:pPr>
      <w:r>
        <w:rPr>
          <w:rFonts w:asciiTheme="majorBidi" w:hAnsiTheme="majorBidi" w:cstheme="majorBidi"/>
        </w:rPr>
        <w:t xml:space="preserve">The subsequent stage, source criticism or data verification, plays a vital role in ensuring the validity and reliability of the information collected. Researchers meticulously evaluate primary sources, including accounts by European sailors, to discern potential biases, given the tendency of foreign narratives to reflect colonial interests. For instance, Cornelis de </w:t>
      </w:r>
      <w:proofErr w:type="spellStart"/>
      <w:r>
        <w:rPr>
          <w:rFonts w:asciiTheme="majorBidi" w:hAnsiTheme="majorBidi" w:cstheme="majorBidi"/>
        </w:rPr>
        <w:t>Houtman's</w:t>
      </w:r>
      <w:proofErr w:type="spellEnd"/>
      <w:r>
        <w:rPr>
          <w:rFonts w:asciiTheme="majorBidi" w:hAnsiTheme="majorBidi" w:cstheme="majorBidi"/>
        </w:rPr>
        <w:t xml:space="preserve"> reports, which detail tensions with the local population, could be regarded as subjective due to his temperamental nature (</w:t>
      </w:r>
      <w:proofErr w:type="spellStart"/>
      <w:r>
        <w:rPr>
          <w:rFonts w:asciiTheme="majorBidi" w:hAnsiTheme="majorBidi" w:cstheme="majorBidi"/>
        </w:rPr>
        <w:t>Hoekema</w:t>
      </w:r>
      <w:proofErr w:type="spellEnd"/>
      <w:r>
        <w:rPr>
          <w:rFonts w:asciiTheme="majorBidi" w:hAnsiTheme="majorBidi" w:cstheme="majorBidi"/>
        </w:rPr>
        <w:t xml:space="preserve">, 2024). Local sources, including the Arabic inscription on the cannon "Ki </w:t>
      </w:r>
      <w:proofErr w:type="spellStart"/>
      <w:r>
        <w:rPr>
          <w:rFonts w:asciiTheme="majorBidi" w:hAnsiTheme="majorBidi" w:cstheme="majorBidi"/>
        </w:rPr>
        <w:t>Amuk</w:t>
      </w:r>
      <w:proofErr w:type="spellEnd"/>
      <w:r>
        <w:rPr>
          <w:rFonts w:asciiTheme="majorBidi" w:hAnsiTheme="majorBidi" w:cstheme="majorBidi"/>
        </w:rPr>
        <w:t>," were meticulously verified to ascertain their authenticity and relevance to Banten's cultural context (Alves, 2007). Secondary sources were also reviewed to verify consistency with the primary data. This process serves to enhance the validity of the research and to address the challenge of unequal narratives resulting from the prevalence of colonial perspectives. It enables a more balanced reconstruction of the life in the Banten bazaar (Conrad, 2022).</w:t>
      </w:r>
    </w:p>
    <w:p w:rsidR="00BC5B32" w:rsidRDefault="00093074">
      <w:pPr>
        <w:jc w:val="both"/>
        <w:rPr>
          <w:rFonts w:asciiTheme="majorBidi" w:hAnsiTheme="majorBidi" w:cstheme="majorBidi"/>
        </w:rPr>
      </w:pPr>
      <w:r>
        <w:rPr>
          <w:rFonts w:asciiTheme="majorBidi" w:hAnsiTheme="majorBidi" w:cstheme="majorBidi"/>
        </w:rPr>
        <w:t xml:space="preserve">The third stage of the research is data analysis, in which the researcher draws connections between the pepper trade, multicultural interactions, and cultural practices in Banten. An analysis of primary sources, including records of the arrival of British, Portuguese, and Chinese traders, was conducted to ascertain the operational mechanisms of Banten's bazaar as a pivotal nexus for the exchange of spices, thereby facilitating interconnectedness within global networks. The presence of artifacts such as Vietnamese or Chinese ceramics indicates extensive cultural contacts. Furthermore, the city's structure, which includes foreign community settlements outside the fort, reflects Banten's cosmopolitanism. This approach is enriched by </w:t>
      </w:r>
      <w:r>
        <w:rPr>
          <w:rFonts w:asciiTheme="majorBidi" w:hAnsiTheme="majorBidi" w:cstheme="majorBidi"/>
        </w:rPr>
        <w:lastRenderedPageBreak/>
        <w:t>secondary sources that provide insights into social and economic dynamics, such as the role of guilds or the waqf system in maintaining the economic resilience of the bazaar (</w:t>
      </w:r>
      <w:proofErr w:type="spellStart"/>
      <w:r>
        <w:rPr>
          <w:rFonts w:asciiTheme="majorBidi" w:hAnsiTheme="majorBidi" w:cstheme="majorBidi"/>
        </w:rPr>
        <w:t>Heijer</w:t>
      </w:r>
      <w:proofErr w:type="spellEnd"/>
      <w:r>
        <w:rPr>
          <w:rFonts w:asciiTheme="majorBidi" w:hAnsiTheme="majorBidi" w:cstheme="majorBidi"/>
        </w:rPr>
        <w:t>, 2023). The analysis effectively portrays Banten as a dynamic trading center. However, when interpreting the data, it is essential to consider the context of colonial power, as this influenced interactions in the bazaar (</w:t>
      </w:r>
      <w:proofErr w:type="spellStart"/>
      <w:r>
        <w:rPr>
          <w:rFonts w:asciiTheme="majorBidi" w:hAnsiTheme="majorBidi" w:cstheme="majorBidi"/>
        </w:rPr>
        <w:t>Boohaart</w:t>
      </w:r>
      <w:proofErr w:type="spellEnd"/>
      <w:r>
        <w:rPr>
          <w:rFonts w:asciiTheme="majorBidi" w:hAnsiTheme="majorBidi" w:cstheme="majorBidi"/>
        </w:rPr>
        <w:t>, 2022).</w:t>
      </w:r>
    </w:p>
    <w:p w:rsidR="00BC5B32" w:rsidRDefault="00093074">
      <w:pPr>
        <w:jc w:val="both"/>
        <w:rPr>
          <w:rFonts w:asciiTheme="majorBidi" w:hAnsiTheme="majorBidi" w:cstheme="majorBidi"/>
        </w:rPr>
      </w:pPr>
      <w:r>
        <w:rPr>
          <w:rFonts w:asciiTheme="majorBidi" w:hAnsiTheme="majorBidi" w:cstheme="majorBidi"/>
        </w:rPr>
        <w:t xml:space="preserve">The final stage of the research process, which entailed the composition of a chronological account, yielded a structured and coherent narrative elucidating the development of Banten's bazaar in the 17th century. The researcher meticulously arranged the sequence of events, commencing with Banten's era of prominence as a spice port under the Islamic dynasty of </w:t>
      </w:r>
      <w:proofErr w:type="spellStart"/>
      <w:r>
        <w:rPr>
          <w:rFonts w:asciiTheme="majorBidi" w:hAnsiTheme="majorBidi" w:cstheme="majorBidi"/>
        </w:rPr>
        <w:t>Sunan</w:t>
      </w:r>
      <w:proofErr w:type="spellEnd"/>
      <w:r>
        <w:rPr>
          <w:rFonts w:asciiTheme="majorBidi" w:hAnsiTheme="majorBidi" w:cstheme="majorBidi"/>
        </w:rPr>
        <w:t xml:space="preserve"> </w:t>
      </w:r>
      <w:proofErr w:type="spellStart"/>
      <w:r>
        <w:rPr>
          <w:rFonts w:asciiTheme="majorBidi" w:hAnsiTheme="majorBidi" w:cstheme="majorBidi"/>
        </w:rPr>
        <w:t>Gunung</w:t>
      </w:r>
      <w:proofErr w:type="spellEnd"/>
      <w:r>
        <w:rPr>
          <w:rFonts w:asciiTheme="majorBidi" w:hAnsiTheme="majorBidi" w:cstheme="majorBidi"/>
        </w:rPr>
        <w:t xml:space="preserve"> </w:t>
      </w:r>
      <w:proofErr w:type="spellStart"/>
      <w:r>
        <w:rPr>
          <w:rFonts w:asciiTheme="majorBidi" w:hAnsiTheme="majorBidi" w:cstheme="majorBidi"/>
        </w:rPr>
        <w:t>Jati</w:t>
      </w:r>
      <w:proofErr w:type="spellEnd"/>
      <w:r>
        <w:rPr>
          <w:rFonts w:asciiTheme="majorBidi" w:hAnsiTheme="majorBidi" w:cstheme="majorBidi"/>
        </w:rPr>
        <w:t xml:space="preserve">, followed by the conflict with the VOC in 1601 and the siege in 1682. The integration of primary sources, including paintings depicting Banten's envoys in England, and secondary sources, such as studies of the spice routes, is employed to underscore the cultural and economic ramifications of bazaar activities. This chronological approach enables readers to comprehend the transformation of Banten from a prosperous commercial city to a region experiencing pressure from colonial intervention. However, this history writing must strike a balance between local and foreign narratives to avoid being trapped in a </w:t>
      </w:r>
      <w:proofErr w:type="spellStart"/>
      <w:r>
        <w:rPr>
          <w:rFonts w:asciiTheme="majorBidi" w:hAnsiTheme="majorBidi" w:cstheme="majorBidi"/>
        </w:rPr>
        <w:t>eurocentric</w:t>
      </w:r>
      <w:proofErr w:type="spellEnd"/>
      <w:r>
        <w:rPr>
          <w:rFonts w:asciiTheme="majorBidi" w:hAnsiTheme="majorBidi" w:cstheme="majorBidi"/>
        </w:rPr>
        <w:t xml:space="preserve"> perspective, resulting in a more inclusive representation of Banten's cultural and trading identity at the time (</w:t>
      </w:r>
      <w:proofErr w:type="spellStart"/>
      <w:r>
        <w:rPr>
          <w:rFonts w:asciiTheme="majorBidi" w:hAnsiTheme="majorBidi" w:cstheme="majorBidi"/>
        </w:rPr>
        <w:t>Madjid</w:t>
      </w:r>
      <w:proofErr w:type="spellEnd"/>
      <w:r>
        <w:rPr>
          <w:rFonts w:asciiTheme="majorBidi" w:hAnsiTheme="majorBidi" w:cstheme="majorBidi"/>
        </w:rPr>
        <w:t>, 2014).</w:t>
      </w:r>
    </w:p>
    <w:p w:rsidR="00BC5B32" w:rsidRDefault="00093074">
      <w:pPr>
        <w:jc w:val="both"/>
        <w:rPr>
          <w:rFonts w:asciiTheme="majorBidi" w:hAnsiTheme="majorBidi" w:cstheme="majorBidi"/>
        </w:rPr>
      </w:pPr>
      <w:r>
        <w:rPr>
          <w:rFonts w:asciiTheme="majorBidi" w:hAnsiTheme="majorBidi" w:cstheme="majorBidi"/>
        </w:rPr>
        <w:t>The following section contains the results of the research.</w:t>
      </w:r>
    </w:p>
    <w:p w:rsidR="00BC5B32" w:rsidRDefault="00093074">
      <w:pPr>
        <w:jc w:val="both"/>
        <w:rPr>
          <w:rFonts w:asciiTheme="majorBidi" w:hAnsiTheme="majorBidi" w:cstheme="majorBidi"/>
        </w:rPr>
      </w:pPr>
      <w:r>
        <w:rPr>
          <w:rFonts w:asciiTheme="majorBidi" w:hAnsiTheme="majorBidi" w:cstheme="majorBidi"/>
        </w:rPr>
        <w:t xml:space="preserve">The Sultanate of Banten was established in 1526 by Maulana </w:t>
      </w:r>
      <w:proofErr w:type="spellStart"/>
      <w:r>
        <w:rPr>
          <w:rFonts w:asciiTheme="majorBidi" w:hAnsiTheme="majorBidi" w:cstheme="majorBidi"/>
        </w:rPr>
        <w:t>Hasanuddin</w:t>
      </w:r>
      <w:proofErr w:type="spellEnd"/>
      <w:r>
        <w:rPr>
          <w:rFonts w:asciiTheme="majorBidi" w:hAnsiTheme="majorBidi" w:cstheme="majorBidi"/>
        </w:rPr>
        <w:t xml:space="preserve">, the son of </w:t>
      </w:r>
      <w:proofErr w:type="spellStart"/>
      <w:r>
        <w:rPr>
          <w:rFonts w:asciiTheme="majorBidi" w:hAnsiTheme="majorBidi" w:cstheme="majorBidi"/>
        </w:rPr>
        <w:t>Sunan</w:t>
      </w:r>
      <w:proofErr w:type="spellEnd"/>
      <w:r>
        <w:rPr>
          <w:rFonts w:asciiTheme="majorBidi" w:hAnsiTheme="majorBidi" w:cstheme="majorBidi"/>
        </w:rPr>
        <w:t xml:space="preserve"> </w:t>
      </w:r>
      <w:proofErr w:type="spellStart"/>
      <w:r>
        <w:rPr>
          <w:rFonts w:asciiTheme="majorBidi" w:hAnsiTheme="majorBidi" w:cstheme="majorBidi"/>
        </w:rPr>
        <w:t>Gunung</w:t>
      </w:r>
      <w:proofErr w:type="spellEnd"/>
      <w:r>
        <w:rPr>
          <w:rFonts w:asciiTheme="majorBidi" w:hAnsiTheme="majorBidi" w:cstheme="majorBidi"/>
        </w:rPr>
        <w:t xml:space="preserve"> </w:t>
      </w:r>
      <w:proofErr w:type="spellStart"/>
      <w:r>
        <w:rPr>
          <w:rFonts w:asciiTheme="majorBidi" w:hAnsiTheme="majorBidi" w:cstheme="majorBidi"/>
        </w:rPr>
        <w:t>Jati</w:t>
      </w:r>
      <w:proofErr w:type="spellEnd"/>
      <w:r>
        <w:rPr>
          <w:rFonts w:asciiTheme="majorBidi" w:hAnsiTheme="majorBidi" w:cstheme="majorBidi"/>
        </w:rPr>
        <w:t xml:space="preserve">, following the region's incorporation into the </w:t>
      </w:r>
      <w:proofErr w:type="spellStart"/>
      <w:r>
        <w:rPr>
          <w:rFonts w:asciiTheme="majorBidi" w:hAnsiTheme="majorBidi" w:cstheme="majorBidi"/>
        </w:rPr>
        <w:t>Sunda</w:t>
      </w:r>
      <w:proofErr w:type="spellEnd"/>
      <w:r>
        <w:rPr>
          <w:rFonts w:asciiTheme="majorBidi" w:hAnsiTheme="majorBidi" w:cstheme="majorBidi"/>
        </w:rPr>
        <w:t xml:space="preserve"> Kingdom through the expansion of the </w:t>
      </w:r>
      <w:proofErr w:type="spellStart"/>
      <w:r>
        <w:rPr>
          <w:rFonts w:asciiTheme="majorBidi" w:hAnsiTheme="majorBidi" w:cstheme="majorBidi"/>
        </w:rPr>
        <w:t>Demak</w:t>
      </w:r>
      <w:proofErr w:type="spellEnd"/>
      <w:r>
        <w:rPr>
          <w:rFonts w:asciiTheme="majorBidi" w:hAnsiTheme="majorBidi" w:cstheme="majorBidi"/>
        </w:rPr>
        <w:t xml:space="preserve"> and Cirebon Sultanates in 1524-1525 (Aa, 1881). The construction of </w:t>
      </w:r>
      <w:proofErr w:type="spellStart"/>
      <w:r>
        <w:rPr>
          <w:rFonts w:asciiTheme="majorBidi" w:hAnsiTheme="majorBidi" w:cstheme="majorBidi"/>
        </w:rPr>
        <w:t>Surosowan</w:t>
      </w:r>
      <w:proofErr w:type="spellEnd"/>
      <w:r>
        <w:rPr>
          <w:rFonts w:asciiTheme="majorBidi" w:hAnsiTheme="majorBidi" w:cstheme="majorBidi"/>
        </w:rPr>
        <w:t xml:space="preserve"> fort, initiated by Maulana </w:t>
      </w:r>
      <w:proofErr w:type="spellStart"/>
      <w:r>
        <w:rPr>
          <w:rFonts w:asciiTheme="majorBidi" w:hAnsiTheme="majorBidi" w:cstheme="majorBidi"/>
        </w:rPr>
        <w:t>Hasanuddin</w:t>
      </w:r>
      <w:proofErr w:type="spellEnd"/>
      <w:r>
        <w:rPr>
          <w:rFonts w:asciiTheme="majorBidi" w:hAnsiTheme="majorBidi" w:cstheme="majorBidi"/>
        </w:rPr>
        <w:t xml:space="preserve"> in 1552, served as a pivotal strategic hub for the government and maritime commerce along the western coastline of Java Island, offering a vantage point over the </w:t>
      </w:r>
      <w:proofErr w:type="spellStart"/>
      <w:r>
        <w:rPr>
          <w:rFonts w:asciiTheme="majorBidi" w:hAnsiTheme="majorBidi" w:cstheme="majorBidi"/>
        </w:rPr>
        <w:t>Sunda</w:t>
      </w:r>
      <w:proofErr w:type="spellEnd"/>
      <w:r>
        <w:rPr>
          <w:rFonts w:asciiTheme="majorBidi" w:hAnsiTheme="majorBidi" w:cstheme="majorBidi"/>
        </w:rPr>
        <w:t xml:space="preserve"> Strait. During his reign (1552-1570), Banten underwent significant development as an international trading port, with pepper being its primary commodity, attracting traders from China, Persia, India, and Europe (Faille, 1925). The establishment of diplomatic relations with foreign seafarers commenced with the Portuguese, who made an appearance in the early 16th century. This was followed by the Dutch, led by Cornelis de </w:t>
      </w:r>
      <w:proofErr w:type="spellStart"/>
      <w:r>
        <w:rPr>
          <w:rFonts w:asciiTheme="majorBidi" w:hAnsiTheme="majorBidi" w:cstheme="majorBidi"/>
        </w:rPr>
        <w:t>Houtman</w:t>
      </w:r>
      <w:proofErr w:type="spellEnd"/>
      <w:r>
        <w:rPr>
          <w:rFonts w:asciiTheme="majorBidi" w:hAnsiTheme="majorBidi" w:cstheme="majorBidi"/>
        </w:rPr>
        <w:t>, who arrived in June 1596. However, the Dutch exhibited an arrogant demeanor, which led to tensions with the local government. From a political perspective, the region of Banten experienced an expansion of its Islamic influence, as evidenced by the establishment of diplomatic relations with neighboring kingdoms, including Cirebon and Lampung (</w:t>
      </w:r>
      <w:proofErr w:type="spellStart"/>
      <w:r>
        <w:rPr>
          <w:rFonts w:asciiTheme="majorBidi" w:hAnsiTheme="majorBidi" w:cstheme="majorBidi"/>
        </w:rPr>
        <w:t>Kanumoyoso</w:t>
      </w:r>
      <w:proofErr w:type="spellEnd"/>
      <w:r>
        <w:rPr>
          <w:rFonts w:asciiTheme="majorBidi" w:hAnsiTheme="majorBidi" w:cstheme="majorBidi"/>
        </w:rPr>
        <w:t>, 2018).</w:t>
      </w:r>
    </w:p>
    <w:p w:rsidR="00BC5B32" w:rsidRDefault="00093074">
      <w:pPr>
        <w:jc w:val="both"/>
        <w:rPr>
          <w:rFonts w:asciiTheme="majorBidi" w:hAnsiTheme="majorBidi" w:cstheme="majorBidi"/>
        </w:rPr>
      </w:pPr>
      <w:r>
        <w:rPr>
          <w:rFonts w:asciiTheme="majorBidi" w:hAnsiTheme="majorBidi" w:cstheme="majorBidi"/>
        </w:rPr>
        <w:t xml:space="preserve">During the reign of Sultan Maulana Yusuf (1570-1580), the son of Maulana </w:t>
      </w:r>
      <w:proofErr w:type="spellStart"/>
      <w:r>
        <w:rPr>
          <w:rFonts w:asciiTheme="majorBidi" w:hAnsiTheme="majorBidi" w:cstheme="majorBidi"/>
        </w:rPr>
        <w:t>Hasanuddin</w:t>
      </w:r>
      <w:proofErr w:type="spellEnd"/>
      <w:r>
        <w:rPr>
          <w:rFonts w:asciiTheme="majorBidi" w:hAnsiTheme="majorBidi" w:cstheme="majorBidi"/>
        </w:rPr>
        <w:t xml:space="preserve">, the Sultanate of Banten underwent significant territorial expansion into the Sundanese interior, marked by the conquest of </w:t>
      </w:r>
      <w:proofErr w:type="spellStart"/>
      <w:r>
        <w:rPr>
          <w:rFonts w:asciiTheme="majorBidi" w:hAnsiTheme="majorBidi" w:cstheme="majorBidi"/>
        </w:rPr>
        <w:t>Pakuan</w:t>
      </w:r>
      <w:proofErr w:type="spellEnd"/>
      <w:r>
        <w:rPr>
          <w:rFonts w:asciiTheme="majorBidi" w:hAnsiTheme="majorBidi" w:cstheme="majorBidi"/>
        </w:rPr>
        <w:t xml:space="preserve"> </w:t>
      </w:r>
      <w:proofErr w:type="spellStart"/>
      <w:r>
        <w:rPr>
          <w:rFonts w:asciiTheme="majorBidi" w:hAnsiTheme="majorBidi" w:cstheme="majorBidi"/>
        </w:rPr>
        <w:t>Pajajaran</w:t>
      </w:r>
      <w:proofErr w:type="spellEnd"/>
      <w:r>
        <w:rPr>
          <w:rFonts w:asciiTheme="majorBidi" w:hAnsiTheme="majorBidi" w:cstheme="majorBidi"/>
        </w:rPr>
        <w:t xml:space="preserve"> in 1579. This conquest firmly established the political hegemony of the sultanate over the western region of Java. The pepper trade experienced significant growth, with Banten maintaining a monopoly in Lampung, thereby establishing it as a prominent commercial hub within the broader context of Southeast Asia (</w:t>
      </w:r>
      <w:proofErr w:type="spellStart"/>
      <w:r>
        <w:rPr>
          <w:rFonts w:asciiTheme="majorBidi" w:hAnsiTheme="majorBidi" w:cstheme="majorBidi"/>
        </w:rPr>
        <w:t>Faizin</w:t>
      </w:r>
      <w:proofErr w:type="spellEnd"/>
      <w:r>
        <w:rPr>
          <w:rFonts w:asciiTheme="majorBidi" w:hAnsiTheme="majorBidi" w:cstheme="majorBidi"/>
        </w:rPr>
        <w:t xml:space="preserve">, 2023). The harbor of </w:t>
      </w:r>
      <w:proofErr w:type="spellStart"/>
      <w:r>
        <w:rPr>
          <w:rFonts w:asciiTheme="majorBidi" w:hAnsiTheme="majorBidi" w:cstheme="majorBidi"/>
        </w:rPr>
        <w:t>Karangantu</w:t>
      </w:r>
      <w:proofErr w:type="spellEnd"/>
      <w:r>
        <w:rPr>
          <w:rFonts w:asciiTheme="majorBidi" w:hAnsiTheme="majorBidi" w:cstheme="majorBidi"/>
        </w:rPr>
        <w:t xml:space="preserve"> received visitors from traders representing a variety </w:t>
      </w:r>
      <w:r>
        <w:rPr>
          <w:rFonts w:asciiTheme="majorBidi" w:hAnsiTheme="majorBidi" w:cstheme="majorBidi"/>
        </w:rPr>
        <w:lastRenderedPageBreak/>
        <w:t>of nations, including England, Denmark, and China. These visitors were engaged in the international exchange of goods, specifically items such as silk, porcelain, and spices. Meanwhile, the region of Banten engaged in the export of goods including pepper, rice, and cloves. The cultivation of relationships with foreign sailors was facilitated by a tolerance of religious differences, as evidenced by the construction of a temple in the harbor in 1673 (Bertrand, 2015). The expansion of shipping was further facilitated by the establishment of a sea fleet for the protection of trade routes, as evidenced by an expedition to Palembang in 1596 under the leadership of Maulana Muhammad. However, this endeavor ultimately proved unsuccessful due to the unfortunate demise of Maulana Muhammad in the course of the battle. Banten maintained its political independence, resisting the early pressures exerted by the Portuguese and Dutch (VOC) (Guillot, 1993).</w:t>
      </w:r>
    </w:p>
    <w:p w:rsidR="00BC5B32" w:rsidRDefault="00093074">
      <w:pPr>
        <w:jc w:val="both"/>
        <w:rPr>
          <w:rFonts w:asciiTheme="majorBidi" w:hAnsiTheme="majorBidi" w:cstheme="majorBidi"/>
        </w:rPr>
      </w:pPr>
      <w:r>
        <w:rPr>
          <w:rFonts w:asciiTheme="majorBidi" w:hAnsiTheme="majorBidi" w:cstheme="majorBidi"/>
        </w:rPr>
        <w:t xml:space="preserve">The period of greatest splendor for the Banten Sultanate coincided with the reign of Sultan </w:t>
      </w:r>
      <w:proofErr w:type="spellStart"/>
      <w:r>
        <w:rPr>
          <w:rFonts w:asciiTheme="majorBidi" w:hAnsiTheme="majorBidi" w:cstheme="majorBidi"/>
        </w:rPr>
        <w:t>Ageng</w:t>
      </w:r>
      <w:proofErr w:type="spellEnd"/>
      <w:r>
        <w:rPr>
          <w:rFonts w:asciiTheme="majorBidi" w:hAnsiTheme="majorBidi" w:cstheme="majorBidi"/>
        </w:rPr>
        <w:t xml:space="preserve"> </w:t>
      </w:r>
      <w:proofErr w:type="spellStart"/>
      <w:r>
        <w:rPr>
          <w:rFonts w:asciiTheme="majorBidi" w:hAnsiTheme="majorBidi" w:cstheme="majorBidi"/>
        </w:rPr>
        <w:t>Tirtayasa</w:t>
      </w:r>
      <w:proofErr w:type="spellEnd"/>
      <w:r>
        <w:rPr>
          <w:rFonts w:asciiTheme="majorBidi" w:hAnsiTheme="majorBidi" w:cstheme="majorBidi"/>
        </w:rPr>
        <w:t xml:space="preserve"> (1651-1682), who is credited with significant advancements in politics, trade, and shipping (</w:t>
      </w:r>
      <w:proofErr w:type="spellStart"/>
      <w:r>
        <w:rPr>
          <w:rFonts w:asciiTheme="majorBidi" w:hAnsiTheme="majorBidi" w:cstheme="majorBidi"/>
        </w:rPr>
        <w:t>Siregar</w:t>
      </w:r>
      <w:proofErr w:type="spellEnd"/>
      <w:r>
        <w:rPr>
          <w:rFonts w:asciiTheme="majorBidi" w:hAnsiTheme="majorBidi" w:cstheme="majorBidi"/>
        </w:rPr>
        <w:t xml:space="preserve">, 2024). He constructed a contemporary naval force modeled after European examples and enlisted European sailors to bolster the armed forces. In 1661, he captured </w:t>
      </w:r>
      <w:proofErr w:type="spellStart"/>
      <w:r>
        <w:rPr>
          <w:rFonts w:asciiTheme="majorBidi" w:hAnsiTheme="majorBidi" w:cstheme="majorBidi"/>
        </w:rPr>
        <w:t>Sukadana</w:t>
      </w:r>
      <w:proofErr w:type="spellEnd"/>
      <w:r>
        <w:rPr>
          <w:rFonts w:asciiTheme="majorBidi" w:hAnsiTheme="majorBidi" w:cstheme="majorBidi"/>
        </w:rPr>
        <w:t xml:space="preserve"> (</w:t>
      </w:r>
      <w:proofErr w:type="spellStart"/>
      <w:r>
        <w:rPr>
          <w:rFonts w:asciiTheme="majorBidi" w:hAnsiTheme="majorBidi" w:cstheme="majorBidi"/>
        </w:rPr>
        <w:t>Tanjungpura</w:t>
      </w:r>
      <w:proofErr w:type="spellEnd"/>
      <w:r>
        <w:rPr>
          <w:rFonts w:asciiTheme="majorBidi" w:hAnsiTheme="majorBidi" w:cstheme="majorBidi"/>
        </w:rPr>
        <w:t xml:space="preserve"> Kingdom) to ensure secure shipping lanes (</w:t>
      </w:r>
      <w:proofErr w:type="spellStart"/>
      <w:r>
        <w:rPr>
          <w:rFonts w:asciiTheme="majorBidi" w:hAnsiTheme="majorBidi" w:cstheme="majorBidi"/>
        </w:rPr>
        <w:t>Fadillah</w:t>
      </w:r>
      <w:proofErr w:type="spellEnd"/>
      <w:r>
        <w:rPr>
          <w:rFonts w:asciiTheme="majorBidi" w:hAnsiTheme="majorBidi" w:cstheme="majorBidi"/>
        </w:rPr>
        <w:t xml:space="preserve">, 2020). International trade experienced a period of significant growth and expansion, leading to the establishment of commercial relations with various regions and entities. These included the British Empire, the Ming Dynasty in China, and several Southeast Asian kingdoms, such as those in Persia, India, Siam, Vietnam, the Philippines, and Japan. The strategic use of political diplomacy was reinforced through the deployment of envoys to England in 1681, who sought armed support against the Dutch East India Company (VOC) for its ongoing blockade of trade. Sultan </w:t>
      </w:r>
      <w:proofErr w:type="spellStart"/>
      <w:r>
        <w:rPr>
          <w:rFonts w:asciiTheme="majorBidi" w:hAnsiTheme="majorBidi" w:cstheme="majorBidi"/>
        </w:rPr>
        <w:t>Ageng</w:t>
      </w:r>
      <w:proofErr w:type="spellEnd"/>
      <w:r>
        <w:rPr>
          <w:rFonts w:asciiTheme="majorBidi" w:hAnsiTheme="majorBidi" w:cstheme="majorBidi"/>
        </w:rPr>
        <w:t xml:space="preserve"> </w:t>
      </w:r>
      <w:proofErr w:type="spellStart"/>
      <w:r>
        <w:rPr>
          <w:rFonts w:asciiTheme="majorBidi" w:hAnsiTheme="majorBidi" w:cstheme="majorBidi"/>
        </w:rPr>
        <w:t>Tirtayasa's</w:t>
      </w:r>
      <w:proofErr w:type="spellEnd"/>
      <w:r>
        <w:rPr>
          <w:rFonts w:asciiTheme="majorBidi" w:hAnsiTheme="majorBidi" w:cstheme="majorBidi"/>
        </w:rPr>
        <w:t xml:space="preserve"> staunch opposition to the VOC, defense of Banten's sovereignty, and promotion of the welfare of the people through free trade resulted in the transformation of Banten into a prosperous multiethnic port city.</w:t>
      </w:r>
    </w:p>
    <w:p w:rsidR="00BC5B32" w:rsidRDefault="00093074">
      <w:pPr>
        <w:jc w:val="both"/>
        <w:rPr>
          <w:rFonts w:asciiTheme="majorBidi" w:hAnsiTheme="majorBidi" w:cstheme="majorBidi"/>
        </w:rPr>
      </w:pPr>
      <w:r>
        <w:rPr>
          <w:rFonts w:asciiTheme="majorBidi" w:hAnsiTheme="majorBidi" w:cstheme="majorBidi"/>
        </w:rPr>
        <w:t xml:space="preserve">Towards the conclusion of the 17th century, the Sultanate of Banten began to demonstrate signs of decline, attributable to internal conflicts and external pressures. In approximately 1680, a dispute between Sultan </w:t>
      </w:r>
      <w:proofErr w:type="spellStart"/>
      <w:r>
        <w:rPr>
          <w:rFonts w:asciiTheme="majorBidi" w:hAnsiTheme="majorBidi" w:cstheme="majorBidi"/>
        </w:rPr>
        <w:t>Ageng</w:t>
      </w:r>
      <w:proofErr w:type="spellEnd"/>
      <w:r>
        <w:rPr>
          <w:rFonts w:asciiTheme="majorBidi" w:hAnsiTheme="majorBidi" w:cstheme="majorBidi"/>
        </w:rPr>
        <w:t xml:space="preserve"> </w:t>
      </w:r>
      <w:proofErr w:type="spellStart"/>
      <w:r>
        <w:rPr>
          <w:rFonts w:asciiTheme="majorBidi" w:hAnsiTheme="majorBidi" w:cstheme="majorBidi"/>
        </w:rPr>
        <w:t>Tirtayasa</w:t>
      </w:r>
      <w:proofErr w:type="spellEnd"/>
      <w:r>
        <w:rPr>
          <w:rFonts w:asciiTheme="majorBidi" w:hAnsiTheme="majorBidi" w:cstheme="majorBidi"/>
        </w:rPr>
        <w:t xml:space="preserve"> and his son, Sultan Haji (Sultan Abu </w:t>
      </w:r>
      <w:proofErr w:type="spellStart"/>
      <w:r>
        <w:rPr>
          <w:rFonts w:asciiTheme="majorBidi" w:hAnsiTheme="majorBidi" w:cstheme="majorBidi"/>
        </w:rPr>
        <w:t>Nashar</w:t>
      </w:r>
      <w:proofErr w:type="spellEnd"/>
      <w:r>
        <w:rPr>
          <w:rFonts w:asciiTheme="majorBidi" w:hAnsiTheme="majorBidi" w:cstheme="majorBidi"/>
        </w:rPr>
        <w:t xml:space="preserve"> Abdul </w:t>
      </w:r>
      <w:proofErr w:type="spellStart"/>
      <w:r>
        <w:rPr>
          <w:rFonts w:asciiTheme="majorBidi" w:hAnsiTheme="majorBidi" w:cstheme="majorBidi"/>
        </w:rPr>
        <w:t>Qahar</w:t>
      </w:r>
      <w:proofErr w:type="spellEnd"/>
      <w:r>
        <w:rPr>
          <w:rFonts w:asciiTheme="majorBidi" w:hAnsiTheme="majorBidi" w:cstheme="majorBidi"/>
        </w:rPr>
        <w:t>), precipitated a civil war (</w:t>
      </w:r>
      <w:proofErr w:type="spellStart"/>
      <w:r>
        <w:rPr>
          <w:rFonts w:asciiTheme="majorBidi" w:hAnsiTheme="majorBidi" w:cstheme="majorBidi"/>
        </w:rPr>
        <w:t>Colombijn</w:t>
      </w:r>
      <w:proofErr w:type="spellEnd"/>
      <w:r>
        <w:rPr>
          <w:rFonts w:asciiTheme="majorBidi" w:hAnsiTheme="majorBidi" w:cstheme="majorBidi"/>
        </w:rPr>
        <w:t xml:space="preserve">, 1989). The VOC capitalized on this rift by providing military support to the pro-Dutch Sultan Haji, supplying him with arms and troops. In 1682, Sultan Haji dispatched envoys to the court of King Charles II in London with a request for military supplies. However, this endeavor failed to match the dominance that the Dutch East India Company (VOC) had established in the region. On December 28, 1682, Sultan </w:t>
      </w:r>
      <w:proofErr w:type="spellStart"/>
      <w:r>
        <w:rPr>
          <w:rFonts w:asciiTheme="majorBidi" w:hAnsiTheme="majorBidi" w:cstheme="majorBidi"/>
        </w:rPr>
        <w:t>Ageng</w:t>
      </w:r>
      <w:proofErr w:type="spellEnd"/>
      <w:r>
        <w:rPr>
          <w:rFonts w:asciiTheme="majorBidi" w:hAnsiTheme="majorBidi" w:cstheme="majorBidi"/>
        </w:rPr>
        <w:t xml:space="preserve"> </w:t>
      </w:r>
      <w:proofErr w:type="spellStart"/>
      <w:r>
        <w:rPr>
          <w:rFonts w:asciiTheme="majorBidi" w:hAnsiTheme="majorBidi" w:cstheme="majorBidi"/>
        </w:rPr>
        <w:t>Tirtayasa</w:t>
      </w:r>
      <w:proofErr w:type="spellEnd"/>
      <w:r>
        <w:rPr>
          <w:rFonts w:asciiTheme="majorBidi" w:hAnsiTheme="majorBidi" w:cstheme="majorBidi"/>
        </w:rPr>
        <w:t xml:space="preserve"> was compelled to withdraw to </w:t>
      </w:r>
      <w:proofErr w:type="spellStart"/>
      <w:r>
        <w:rPr>
          <w:rFonts w:asciiTheme="majorBidi" w:hAnsiTheme="majorBidi" w:cstheme="majorBidi"/>
        </w:rPr>
        <w:t>Tirtayasa</w:t>
      </w:r>
      <w:proofErr w:type="spellEnd"/>
      <w:r>
        <w:rPr>
          <w:rFonts w:asciiTheme="majorBidi" w:hAnsiTheme="majorBidi" w:cstheme="majorBidi"/>
        </w:rPr>
        <w:t xml:space="preserve"> following the loss of </w:t>
      </w:r>
      <w:proofErr w:type="spellStart"/>
      <w:r>
        <w:rPr>
          <w:rFonts w:asciiTheme="majorBidi" w:hAnsiTheme="majorBidi" w:cstheme="majorBidi"/>
        </w:rPr>
        <w:t>Surosowan</w:t>
      </w:r>
      <w:proofErr w:type="spellEnd"/>
      <w:r>
        <w:rPr>
          <w:rFonts w:asciiTheme="majorBidi" w:hAnsiTheme="majorBidi" w:cstheme="majorBidi"/>
        </w:rPr>
        <w:t xml:space="preserve"> palace, and was ultimately apprehended and incarcerated by the VOC in 1683, signifying the onset of Banten's political decline. The VOC began to exercise control over trade and shipping through the implementation of monopoly agreements, thereby weakening Banten's position as an international commercial center. Concurrently, the influence of foreign sailors, particularly those of the Dutch, became increasingly dominant (Wessing, 2014).</w:t>
      </w:r>
    </w:p>
    <w:p w:rsidR="00BC5B32" w:rsidRDefault="00093074">
      <w:pPr>
        <w:jc w:val="both"/>
        <w:rPr>
          <w:rFonts w:asciiTheme="majorBidi" w:hAnsiTheme="majorBidi" w:cstheme="majorBidi"/>
        </w:rPr>
      </w:pPr>
      <w:r>
        <w:rPr>
          <w:rFonts w:asciiTheme="majorBidi" w:hAnsiTheme="majorBidi" w:cstheme="majorBidi"/>
        </w:rPr>
        <w:t xml:space="preserve">The historical record indicates that, in the 16th and 17th centuries, Southeast Asian communities, particularly those in Banten, were significant contributors to global trade, particularly in spices such as pepper (Guillot, 1993). Situated on the westernmost extremity of </w:t>
      </w:r>
      <w:r>
        <w:rPr>
          <w:rFonts w:asciiTheme="majorBidi" w:hAnsiTheme="majorBidi" w:cstheme="majorBidi"/>
        </w:rPr>
        <w:lastRenderedPageBreak/>
        <w:t xml:space="preserve">Java Island, Banten leveraged its advantageous location on the </w:t>
      </w:r>
      <w:proofErr w:type="spellStart"/>
      <w:r>
        <w:rPr>
          <w:rFonts w:asciiTheme="majorBidi" w:hAnsiTheme="majorBidi" w:cstheme="majorBidi"/>
        </w:rPr>
        <w:t>Sunda</w:t>
      </w:r>
      <w:proofErr w:type="spellEnd"/>
      <w:r>
        <w:rPr>
          <w:rFonts w:asciiTheme="majorBidi" w:hAnsiTheme="majorBidi" w:cstheme="majorBidi"/>
        </w:rPr>
        <w:t xml:space="preserve"> Strait to appeal to traders from Asia and Europe. Pepper from the island of </w:t>
      </w:r>
      <w:proofErr w:type="spellStart"/>
      <w:r>
        <w:rPr>
          <w:rFonts w:asciiTheme="majorBidi" w:hAnsiTheme="majorBidi" w:cstheme="majorBidi"/>
        </w:rPr>
        <w:t>Lampong</w:t>
      </w:r>
      <w:proofErr w:type="spellEnd"/>
      <w:r>
        <w:rPr>
          <w:rFonts w:asciiTheme="majorBidi" w:hAnsiTheme="majorBidi" w:cstheme="majorBidi"/>
        </w:rPr>
        <w:t xml:space="preserve">, which was under the jurisdiction of the Banten Sultanate, emerged as a prominent export commodity bound for China, India, Persia, and subsequently, Europe, facilitated by the efforts of Portuguese, Dutch, and British sailors. Trade data indicates that during the reign of Sultan </w:t>
      </w:r>
      <w:proofErr w:type="spellStart"/>
      <w:r>
        <w:rPr>
          <w:rFonts w:asciiTheme="majorBidi" w:hAnsiTheme="majorBidi" w:cstheme="majorBidi"/>
        </w:rPr>
        <w:t>Ageng</w:t>
      </w:r>
      <w:proofErr w:type="spellEnd"/>
      <w:r>
        <w:rPr>
          <w:rFonts w:asciiTheme="majorBidi" w:hAnsiTheme="majorBidi" w:cstheme="majorBidi"/>
        </w:rPr>
        <w:t xml:space="preserve"> </w:t>
      </w:r>
      <w:proofErr w:type="spellStart"/>
      <w:r>
        <w:rPr>
          <w:rFonts w:asciiTheme="majorBidi" w:hAnsiTheme="majorBidi" w:cstheme="majorBidi"/>
        </w:rPr>
        <w:t>Tirtayasa</w:t>
      </w:r>
      <w:proofErr w:type="spellEnd"/>
      <w:r>
        <w:rPr>
          <w:rFonts w:asciiTheme="majorBidi" w:hAnsiTheme="majorBidi" w:cstheme="majorBidi"/>
        </w:rPr>
        <w:t xml:space="preserve">, the province of Banten experienced a significant increase in pepper exports, reaching an annual volume of thousands of tons. This robust export activity placed Banten in direct competition with prominent ports such as Malacca and Aceh during the same period. The capacity of the </w:t>
      </w:r>
      <w:proofErr w:type="spellStart"/>
      <w:r>
        <w:rPr>
          <w:rFonts w:asciiTheme="majorBidi" w:hAnsiTheme="majorBidi" w:cstheme="majorBidi"/>
        </w:rPr>
        <w:t>Bantenese</w:t>
      </w:r>
      <w:proofErr w:type="spellEnd"/>
      <w:r>
        <w:rPr>
          <w:rFonts w:asciiTheme="majorBidi" w:hAnsiTheme="majorBidi" w:cstheme="majorBidi"/>
        </w:rPr>
        <w:t xml:space="preserve"> community to oversee plantations, distribution, and international trade led to the development of this market as a commercial hub, satisfying regional demands while exerting influence on global supply chains. This historical context underscores Southeast Asia's status as a significant contributor to the global economy (</w:t>
      </w:r>
      <w:proofErr w:type="spellStart"/>
      <w:r>
        <w:rPr>
          <w:rFonts w:asciiTheme="majorBidi" w:hAnsiTheme="majorBidi" w:cstheme="majorBidi"/>
        </w:rPr>
        <w:t>Kurniawan</w:t>
      </w:r>
      <w:proofErr w:type="spellEnd"/>
      <w:r>
        <w:rPr>
          <w:rFonts w:asciiTheme="majorBidi" w:hAnsiTheme="majorBidi" w:cstheme="majorBidi"/>
        </w:rPr>
        <w:t>, 2022).</w:t>
      </w:r>
    </w:p>
    <w:p w:rsidR="00BC5B32" w:rsidRDefault="00093074">
      <w:pPr>
        <w:jc w:val="both"/>
        <w:rPr>
          <w:rFonts w:asciiTheme="majorBidi" w:hAnsiTheme="majorBidi" w:cstheme="majorBidi"/>
        </w:rPr>
      </w:pPr>
      <w:r>
        <w:rPr>
          <w:rFonts w:asciiTheme="majorBidi" w:hAnsiTheme="majorBidi" w:cstheme="majorBidi"/>
        </w:rPr>
        <w:t xml:space="preserve">The development of the market ecosystem in Banten was characterized by a collaborative process involving indigenous and foreign traders, with notable contributions from China, India, and Arabia, resulting in a trading environment that was both healthy and competitive. Indigenous traders, who exercised control over local supply chains for goods such as pepper and rice, collaborated closely with Chinese traders, who imported silk and porcelain, and with Indian and Arab traders, who supplied textiles and other spices (Guillot, 1993). Historical records indicate the presence of a notable Chinese community in Banten, as evidenced by the establishment of a temple in 1673, suggesting cultural and economic integration. Banten's market, particularly at </w:t>
      </w:r>
      <w:proofErr w:type="spellStart"/>
      <w:r>
        <w:rPr>
          <w:rFonts w:asciiTheme="majorBidi" w:hAnsiTheme="majorBidi" w:cstheme="majorBidi"/>
        </w:rPr>
        <w:t>Karangantu</w:t>
      </w:r>
      <w:proofErr w:type="spellEnd"/>
      <w:r>
        <w:rPr>
          <w:rFonts w:asciiTheme="majorBidi" w:hAnsiTheme="majorBidi" w:cstheme="majorBidi"/>
        </w:rPr>
        <w:t xml:space="preserve"> Harbor, emerged as a nexus for the exchange of goods and ideas, featuring a flexible system of barter and coinage trading (</w:t>
      </w:r>
      <w:proofErr w:type="spellStart"/>
      <w:r>
        <w:rPr>
          <w:rFonts w:asciiTheme="majorBidi" w:hAnsiTheme="majorBidi" w:cstheme="majorBidi"/>
        </w:rPr>
        <w:t>Talens</w:t>
      </w:r>
      <w:proofErr w:type="spellEnd"/>
      <w:r>
        <w:rPr>
          <w:rFonts w:asciiTheme="majorBidi" w:hAnsiTheme="majorBidi" w:cstheme="majorBidi"/>
        </w:rPr>
        <w:t>, 2004). This cooperation not only increased the volume of trade, but also ensured price stability and continuity of supply, making Banten an inclusive and dynamic multiethnic commercial center (K. Ueda, 2016).</w:t>
      </w:r>
    </w:p>
    <w:p w:rsidR="00BC5B32" w:rsidRDefault="00093074">
      <w:pPr>
        <w:jc w:val="both"/>
        <w:rPr>
          <w:rFonts w:asciiTheme="majorBidi" w:hAnsiTheme="majorBidi" w:cstheme="majorBidi"/>
        </w:rPr>
      </w:pPr>
      <w:r>
        <w:rPr>
          <w:rFonts w:asciiTheme="majorBidi" w:hAnsiTheme="majorBidi" w:cstheme="majorBidi"/>
        </w:rPr>
        <w:t xml:space="preserve">The success of the Banten market was also supported by the Sultan's policy of selecting </w:t>
      </w:r>
      <w:proofErr w:type="spellStart"/>
      <w:r>
        <w:rPr>
          <w:rFonts w:asciiTheme="majorBidi" w:hAnsiTheme="majorBidi" w:cstheme="majorBidi"/>
        </w:rPr>
        <w:t>shahbandars</w:t>
      </w:r>
      <w:proofErr w:type="spellEnd"/>
      <w:r>
        <w:rPr>
          <w:rFonts w:asciiTheme="majorBidi" w:hAnsiTheme="majorBidi" w:cstheme="majorBidi"/>
        </w:rPr>
        <w:t xml:space="preserve">, port officials who had a high reputation among the merchant community. Notable figures such as </w:t>
      </w:r>
      <w:proofErr w:type="spellStart"/>
      <w:r>
        <w:rPr>
          <w:rFonts w:asciiTheme="majorBidi" w:hAnsiTheme="majorBidi" w:cstheme="majorBidi"/>
        </w:rPr>
        <w:t>Syahbandar</w:t>
      </w:r>
      <w:proofErr w:type="spellEnd"/>
      <w:r>
        <w:rPr>
          <w:rFonts w:asciiTheme="majorBidi" w:hAnsiTheme="majorBidi" w:cstheme="majorBidi"/>
        </w:rPr>
        <w:t xml:space="preserve"> </w:t>
      </w:r>
      <w:proofErr w:type="spellStart"/>
      <w:r>
        <w:rPr>
          <w:rFonts w:asciiTheme="majorBidi" w:hAnsiTheme="majorBidi" w:cstheme="majorBidi"/>
        </w:rPr>
        <w:t>Cakdrana</w:t>
      </w:r>
      <w:proofErr w:type="spellEnd"/>
      <w:r>
        <w:rPr>
          <w:rFonts w:asciiTheme="majorBidi" w:hAnsiTheme="majorBidi" w:cstheme="majorBidi"/>
        </w:rPr>
        <w:t xml:space="preserve"> and </w:t>
      </w:r>
      <w:proofErr w:type="spellStart"/>
      <w:r>
        <w:rPr>
          <w:rFonts w:asciiTheme="majorBidi" w:hAnsiTheme="majorBidi" w:cstheme="majorBidi"/>
        </w:rPr>
        <w:t>Kaytsu</w:t>
      </w:r>
      <w:proofErr w:type="spellEnd"/>
      <w:r>
        <w:rPr>
          <w:rFonts w:asciiTheme="majorBidi" w:hAnsiTheme="majorBidi" w:cstheme="majorBidi"/>
        </w:rPr>
        <w:t xml:space="preserve">, who were appointed during the reign of Sultan </w:t>
      </w:r>
      <w:proofErr w:type="spellStart"/>
      <w:r>
        <w:rPr>
          <w:rFonts w:asciiTheme="majorBidi" w:hAnsiTheme="majorBidi" w:cstheme="majorBidi"/>
        </w:rPr>
        <w:t>Ageng</w:t>
      </w:r>
      <w:proofErr w:type="spellEnd"/>
      <w:r>
        <w:rPr>
          <w:rFonts w:asciiTheme="majorBidi" w:hAnsiTheme="majorBidi" w:cstheme="majorBidi"/>
        </w:rPr>
        <w:t xml:space="preserve"> </w:t>
      </w:r>
      <w:proofErr w:type="spellStart"/>
      <w:r>
        <w:rPr>
          <w:rFonts w:asciiTheme="majorBidi" w:hAnsiTheme="majorBidi" w:cstheme="majorBidi"/>
        </w:rPr>
        <w:t>Tirtayasa</w:t>
      </w:r>
      <w:proofErr w:type="spellEnd"/>
      <w:r>
        <w:rPr>
          <w:rFonts w:asciiTheme="majorBidi" w:hAnsiTheme="majorBidi" w:cstheme="majorBidi"/>
        </w:rPr>
        <w:t xml:space="preserve">, were particularly adept in their management of port activities and the cultivation of relationships with foreign traders (Kemper, 2019; Guillot, 1990). The </w:t>
      </w:r>
      <w:proofErr w:type="spellStart"/>
      <w:r>
        <w:rPr>
          <w:rFonts w:asciiTheme="majorBidi" w:hAnsiTheme="majorBidi" w:cstheme="majorBidi"/>
        </w:rPr>
        <w:t>Syahbandar</w:t>
      </w:r>
      <w:proofErr w:type="spellEnd"/>
      <w:r>
        <w:rPr>
          <w:rFonts w:asciiTheme="majorBidi" w:hAnsiTheme="majorBidi" w:cstheme="majorBidi"/>
        </w:rPr>
        <w:t xml:space="preserve"> was responsible for the supervision of transactions, the establishment of trade taxes, and the resolution of disputes, thereby fostering confidence among traders in the Banten market. The reputation of the port of Banten among traders from China, India, and Europe served to reinforce its reputation as a fair and well-organized port. Dutch records from the VOC in the 1660s noted that Banten's </w:t>
      </w:r>
      <w:proofErr w:type="spellStart"/>
      <w:r>
        <w:rPr>
          <w:rFonts w:asciiTheme="majorBidi" w:hAnsiTheme="majorBidi" w:cstheme="majorBidi"/>
        </w:rPr>
        <w:t>syahbandar</w:t>
      </w:r>
      <w:proofErr w:type="spellEnd"/>
      <w:r>
        <w:rPr>
          <w:rFonts w:asciiTheme="majorBidi" w:hAnsiTheme="majorBidi" w:cstheme="majorBidi"/>
        </w:rPr>
        <w:t xml:space="preserve"> was capable of handling hundreds of ships each trading season, thereby demonstrating efficiency and professionalism in port administration. The selection of this competent </w:t>
      </w:r>
      <w:proofErr w:type="spellStart"/>
      <w:r>
        <w:rPr>
          <w:rFonts w:asciiTheme="majorBidi" w:hAnsiTheme="majorBidi" w:cstheme="majorBidi"/>
        </w:rPr>
        <w:t>syahbandar</w:t>
      </w:r>
      <w:proofErr w:type="spellEnd"/>
      <w:r>
        <w:rPr>
          <w:rFonts w:asciiTheme="majorBidi" w:hAnsiTheme="majorBidi" w:cstheme="majorBidi"/>
        </w:rPr>
        <w:t xml:space="preserve"> proved to be pivotal in maintaining the attractiveness of the Banten market for international traders (Lombard, 1975).</w:t>
      </w:r>
    </w:p>
    <w:p w:rsidR="00BC5B32" w:rsidRDefault="00093074">
      <w:pPr>
        <w:jc w:val="both"/>
        <w:rPr>
          <w:rFonts w:asciiTheme="majorBidi" w:hAnsiTheme="majorBidi" w:cstheme="majorBidi"/>
        </w:rPr>
      </w:pPr>
      <w:r>
        <w:rPr>
          <w:rFonts w:asciiTheme="majorBidi" w:hAnsiTheme="majorBidi" w:cstheme="majorBidi"/>
        </w:rPr>
        <w:t xml:space="preserve">The Sultan of Banten also allocated resources to the development of economic support infrastructure, including the construction of ports, warehouses, and an integrated security system, with the aim of promoting market activities. </w:t>
      </w:r>
      <w:proofErr w:type="spellStart"/>
      <w:r>
        <w:rPr>
          <w:rFonts w:asciiTheme="majorBidi" w:hAnsiTheme="majorBidi" w:cstheme="majorBidi"/>
        </w:rPr>
        <w:t>Karangantu</w:t>
      </w:r>
      <w:proofErr w:type="spellEnd"/>
      <w:r>
        <w:rPr>
          <w:rFonts w:asciiTheme="majorBidi" w:hAnsiTheme="majorBidi" w:cstheme="majorBidi"/>
        </w:rPr>
        <w:t xml:space="preserve"> Harbor was equipped with docks capable of accommodating large ships from Europe and Asia, while warehouses around the harbor were used to store pepper, rice, and imported goods such as porcelain (</w:t>
      </w:r>
      <w:proofErr w:type="spellStart"/>
      <w:r>
        <w:rPr>
          <w:rFonts w:asciiTheme="majorBidi" w:hAnsiTheme="majorBidi" w:cstheme="majorBidi"/>
        </w:rPr>
        <w:t>Talens</w:t>
      </w:r>
      <w:proofErr w:type="spellEnd"/>
      <w:r>
        <w:rPr>
          <w:rFonts w:asciiTheme="majorBidi" w:hAnsiTheme="majorBidi" w:cstheme="majorBidi"/>
        </w:rPr>
        <w:t xml:space="preserve">, 2004). </w:t>
      </w:r>
      <w:r>
        <w:rPr>
          <w:rFonts w:asciiTheme="majorBidi" w:hAnsiTheme="majorBidi" w:cstheme="majorBidi"/>
        </w:rPr>
        <w:lastRenderedPageBreak/>
        <w:t xml:space="preserve">Furthermore, Sultan </w:t>
      </w:r>
      <w:proofErr w:type="spellStart"/>
      <w:r>
        <w:rPr>
          <w:rFonts w:asciiTheme="majorBidi" w:hAnsiTheme="majorBidi" w:cstheme="majorBidi"/>
        </w:rPr>
        <w:t>Ageng</w:t>
      </w:r>
      <w:proofErr w:type="spellEnd"/>
      <w:r>
        <w:rPr>
          <w:rFonts w:asciiTheme="majorBidi" w:hAnsiTheme="majorBidi" w:cstheme="majorBidi"/>
        </w:rPr>
        <w:t xml:space="preserve"> </w:t>
      </w:r>
      <w:proofErr w:type="spellStart"/>
      <w:r>
        <w:rPr>
          <w:rFonts w:asciiTheme="majorBidi" w:hAnsiTheme="majorBidi" w:cstheme="majorBidi"/>
        </w:rPr>
        <w:t>Tirtayasa</w:t>
      </w:r>
      <w:proofErr w:type="spellEnd"/>
      <w:r>
        <w:rPr>
          <w:rFonts w:asciiTheme="majorBidi" w:hAnsiTheme="majorBidi" w:cstheme="majorBidi"/>
        </w:rPr>
        <w:t xml:space="preserve"> implemented modernization efforts, including the adoption of European models for the sea fleet, with the objective of safeguarding the region's shipping lanes against the threat of piracy and the blockades imposed by the Dutch East India Company (VOC). The market security system was reinforced by the strict supervision of sultanate troops, which prevented conflicts between traders and ensured the smooth progression of transactions. In the 1680s, English travelers' accounts extolled the virtues of Banten's well-ordered infrastructure and assured market security, a factor that enabled foreign traders to operate with a reasonable degree of confidence. These facilities transformed Banten's market into a nexus of trade and a paradigm of an advanced port city in Southeast Asia (Bassett, 2001).</w:t>
      </w:r>
    </w:p>
    <w:p w:rsidR="00BC5B32" w:rsidRDefault="00093074">
      <w:pPr>
        <w:jc w:val="both"/>
        <w:rPr>
          <w:rFonts w:asciiTheme="majorBidi" w:hAnsiTheme="majorBidi" w:cstheme="majorBidi"/>
        </w:rPr>
      </w:pPr>
      <w:r>
        <w:rPr>
          <w:rFonts w:asciiTheme="majorBidi" w:hAnsiTheme="majorBidi" w:cstheme="majorBidi"/>
        </w:rPr>
        <w:t>The tradition of trade in the Banten Sultanate in the 17th century was one of the primary factors that contributed to the region's economic prosperity. However, this subject has not been the focus of significant scholarly attention. As a strategic maritime trade hub situated along the Asia-Europe trade route, this tradition was reinforced by the actions of ulama and nobles who functioned as trade managers. These individuals played a pivotal role in shaping the norms of Islamic value-based trade ethics. This trading tradition also reflects cultural pluralism, where traders from various ethnic and religious backgrounds interact, creating a distinctive cosmopolitanism in Banten. However, this tradition was not immune to challenges, including internal conflicts and external pressures from colonialism, which ultimately affected the sustainability of the trading system towards the end of the 17th century (</w:t>
      </w:r>
      <w:proofErr w:type="spellStart"/>
      <w:r>
        <w:rPr>
          <w:rFonts w:asciiTheme="majorBidi" w:hAnsiTheme="majorBidi" w:cstheme="majorBidi"/>
        </w:rPr>
        <w:t>Ravensbergen</w:t>
      </w:r>
      <w:proofErr w:type="spellEnd"/>
      <w:r>
        <w:rPr>
          <w:rFonts w:asciiTheme="majorBidi" w:hAnsiTheme="majorBidi" w:cstheme="majorBidi"/>
        </w:rPr>
        <w:t>, 2021).</w:t>
      </w:r>
    </w:p>
    <w:p w:rsidR="00BC5B32" w:rsidRDefault="00093074">
      <w:pPr>
        <w:jc w:val="both"/>
        <w:rPr>
          <w:rFonts w:asciiTheme="majorBidi" w:hAnsiTheme="majorBidi" w:cstheme="majorBidi"/>
        </w:rPr>
      </w:pPr>
      <w:r>
        <w:rPr>
          <w:rFonts w:asciiTheme="majorBidi" w:hAnsiTheme="majorBidi" w:cstheme="majorBidi"/>
        </w:rPr>
        <w:t xml:space="preserve">João de Barros, in </w:t>
      </w:r>
      <w:proofErr w:type="spellStart"/>
      <w:r>
        <w:rPr>
          <w:rFonts w:asciiTheme="majorBidi" w:hAnsiTheme="majorBidi" w:cstheme="majorBidi"/>
        </w:rPr>
        <w:t>Décadas</w:t>
      </w:r>
      <w:proofErr w:type="spellEnd"/>
      <w:r>
        <w:rPr>
          <w:rFonts w:asciiTheme="majorBidi" w:hAnsiTheme="majorBidi" w:cstheme="majorBidi"/>
        </w:rPr>
        <w:t xml:space="preserve"> da </w:t>
      </w:r>
      <w:proofErr w:type="spellStart"/>
      <w:r>
        <w:rPr>
          <w:rFonts w:asciiTheme="majorBidi" w:hAnsiTheme="majorBidi" w:cstheme="majorBidi"/>
        </w:rPr>
        <w:t>Ásia</w:t>
      </w:r>
      <w:proofErr w:type="spellEnd"/>
      <w:r>
        <w:rPr>
          <w:rFonts w:asciiTheme="majorBidi" w:hAnsiTheme="majorBidi" w:cstheme="majorBidi"/>
        </w:rPr>
        <w:t xml:space="preserve">, sees that merits attention. He notes that the Banten region was originally part of the </w:t>
      </w:r>
      <w:proofErr w:type="spellStart"/>
      <w:r>
        <w:rPr>
          <w:rFonts w:asciiTheme="majorBidi" w:hAnsiTheme="majorBidi" w:cstheme="majorBidi"/>
        </w:rPr>
        <w:t>Sunda</w:t>
      </w:r>
      <w:proofErr w:type="spellEnd"/>
      <w:r>
        <w:rPr>
          <w:rFonts w:asciiTheme="majorBidi" w:hAnsiTheme="majorBidi" w:cstheme="majorBidi"/>
        </w:rPr>
        <w:t xml:space="preserve"> Kingdom before being ruled by Muslims under </w:t>
      </w:r>
      <w:proofErr w:type="spellStart"/>
      <w:r>
        <w:rPr>
          <w:rFonts w:asciiTheme="majorBidi" w:hAnsiTheme="majorBidi" w:cstheme="majorBidi"/>
        </w:rPr>
        <w:t>Sunan</w:t>
      </w:r>
      <w:proofErr w:type="spellEnd"/>
      <w:r>
        <w:rPr>
          <w:rFonts w:asciiTheme="majorBidi" w:hAnsiTheme="majorBidi" w:cstheme="majorBidi"/>
        </w:rPr>
        <w:t xml:space="preserve"> </w:t>
      </w:r>
      <w:proofErr w:type="spellStart"/>
      <w:r>
        <w:rPr>
          <w:rFonts w:asciiTheme="majorBidi" w:hAnsiTheme="majorBidi" w:cstheme="majorBidi"/>
        </w:rPr>
        <w:t>Gunung</w:t>
      </w:r>
      <w:proofErr w:type="spellEnd"/>
      <w:r>
        <w:rPr>
          <w:rFonts w:asciiTheme="majorBidi" w:hAnsiTheme="majorBidi" w:cstheme="majorBidi"/>
        </w:rPr>
        <w:t xml:space="preserve"> </w:t>
      </w:r>
      <w:proofErr w:type="spellStart"/>
      <w:r>
        <w:rPr>
          <w:rFonts w:asciiTheme="majorBidi" w:hAnsiTheme="majorBidi" w:cstheme="majorBidi"/>
        </w:rPr>
        <w:t>Jati</w:t>
      </w:r>
      <w:proofErr w:type="spellEnd"/>
      <w:r>
        <w:rPr>
          <w:rFonts w:asciiTheme="majorBidi" w:hAnsiTheme="majorBidi" w:cstheme="majorBidi"/>
        </w:rPr>
        <w:t xml:space="preserve">. This observation is of particular interest because it suggests that the society in the region was open to interaction with foreign traders, including the Portuguese, who had been present before the conversion to Islam. Following the establishment of a sultanate, the Muslim community began to organize its life in accordance with Islamic legal principles, particularly with regard to trade, as evidenced by the emergence of practices such as the </w:t>
      </w:r>
      <w:proofErr w:type="spellStart"/>
      <w:r>
        <w:rPr>
          <w:rFonts w:asciiTheme="majorBidi" w:hAnsiTheme="majorBidi" w:cstheme="majorBidi"/>
        </w:rPr>
        <w:t>ijab-kabul</w:t>
      </w:r>
      <w:proofErr w:type="spellEnd"/>
      <w:r>
        <w:rPr>
          <w:rFonts w:asciiTheme="majorBidi" w:hAnsiTheme="majorBidi" w:cstheme="majorBidi"/>
        </w:rPr>
        <w:t xml:space="preserve"> tradition previously discussed. Despite its brevity, this explanation suggests that the pre-Islamic society in the region exhibited a distinctive cosmopolitan character, with the port serving as a nexus for multicultural interaction (Barros, 1552).</w:t>
      </w:r>
    </w:p>
    <w:p w:rsidR="00BC5B32" w:rsidRDefault="00093074">
      <w:pPr>
        <w:jc w:val="both"/>
        <w:rPr>
          <w:rFonts w:asciiTheme="majorBidi" w:hAnsiTheme="majorBidi" w:cstheme="majorBidi"/>
        </w:rPr>
      </w:pPr>
      <w:r>
        <w:rPr>
          <w:rFonts w:asciiTheme="majorBidi" w:hAnsiTheme="majorBidi" w:cstheme="majorBidi"/>
        </w:rPr>
        <w:t xml:space="preserve">The interaction between Islamic teachings and preexisting local values, including Hindu-Buddhist influences, resulted in the development of deeply entrenched customs within the Islamic traditions and legal systems of the Banten Sultanate during the 17th century. The scholars, irrespective of their social class, disseminated a doctrine that underscored the tenets of a virtuous existence, encompassing principles such as justice, integrity, and collective responsibility. These tenets were in alignment with the tenets of sharia (S. </w:t>
      </w:r>
      <w:proofErr w:type="spellStart"/>
      <w:r>
        <w:rPr>
          <w:rFonts w:asciiTheme="majorBidi" w:hAnsiTheme="majorBidi" w:cstheme="majorBidi"/>
        </w:rPr>
        <w:t>Wibowo</w:t>
      </w:r>
      <w:proofErr w:type="spellEnd"/>
      <w:r>
        <w:rPr>
          <w:rFonts w:asciiTheme="majorBidi" w:hAnsiTheme="majorBidi" w:cstheme="majorBidi"/>
        </w:rPr>
        <w:t>, 2023).</w:t>
      </w:r>
    </w:p>
    <w:p w:rsidR="00BC5B32" w:rsidRDefault="00093074">
      <w:pPr>
        <w:jc w:val="both"/>
        <w:rPr>
          <w:rFonts w:asciiTheme="majorBidi" w:hAnsiTheme="majorBidi" w:cstheme="majorBidi"/>
        </w:rPr>
      </w:pPr>
      <w:r>
        <w:rPr>
          <w:rFonts w:asciiTheme="majorBidi" w:hAnsiTheme="majorBidi" w:cstheme="majorBidi"/>
        </w:rPr>
        <w:t xml:space="preserve">However, this teaching is not accepted uncritically; rather, it is integrated with local traditions, including traditional ceremonies, religious rituals, and cosmological views that continue to reflect the Hindu-Buddhist heritage. One example of this syncretism is the practice of making pilgrimages to the tombs of guardians or ancestors, which are imbued with mystical nuances. This phenomenon demonstrates the intermingling of Islamic teachings and local animist </w:t>
      </w:r>
      <w:r>
        <w:rPr>
          <w:rFonts w:asciiTheme="majorBidi" w:hAnsiTheme="majorBidi" w:cstheme="majorBidi"/>
        </w:rPr>
        <w:lastRenderedPageBreak/>
        <w:t xml:space="preserve">beliefs. This process engenders an endemic comprehension of Islam, which is not only accepted as a religion but also regarded as a contextual guide to life, reflecting the distinctive cultural identity of Banten. The interplay between Islamic tradition and customs in Banten is further exemplified by the social and legal structures that govern daily life (S. </w:t>
      </w:r>
      <w:proofErr w:type="spellStart"/>
      <w:r>
        <w:rPr>
          <w:rFonts w:asciiTheme="majorBidi" w:hAnsiTheme="majorBidi" w:cstheme="majorBidi"/>
        </w:rPr>
        <w:t>Seff</w:t>
      </w:r>
      <w:proofErr w:type="spellEnd"/>
      <w:r>
        <w:rPr>
          <w:rFonts w:asciiTheme="majorBidi" w:hAnsiTheme="majorBidi" w:cstheme="majorBidi"/>
        </w:rPr>
        <w:t>, 2022).</w:t>
      </w:r>
    </w:p>
    <w:p w:rsidR="00BC5B32" w:rsidRDefault="00093074">
      <w:pPr>
        <w:jc w:val="both"/>
        <w:rPr>
          <w:rFonts w:asciiTheme="majorBidi" w:hAnsiTheme="majorBidi" w:cstheme="majorBidi"/>
        </w:rPr>
      </w:pPr>
      <w:r>
        <w:rPr>
          <w:rFonts w:asciiTheme="majorBidi" w:hAnsiTheme="majorBidi" w:cstheme="majorBidi"/>
        </w:rPr>
        <w:t xml:space="preserve">The trading tradition in the Banten Sultanate in the 17th century, rooted in Islamic law and mixed with local customs, reflects a unique syncretism between sharia teachings and pre-Islamic cultural values, such as Hindu-Buddhist heritage, especially in the practice of </w:t>
      </w:r>
      <w:proofErr w:type="spellStart"/>
      <w:r>
        <w:rPr>
          <w:rFonts w:asciiTheme="majorBidi" w:hAnsiTheme="majorBidi" w:cstheme="majorBidi"/>
        </w:rPr>
        <w:t>ijab-kabul</w:t>
      </w:r>
      <w:proofErr w:type="spellEnd"/>
      <w:r>
        <w:rPr>
          <w:rFonts w:asciiTheme="majorBidi" w:hAnsiTheme="majorBidi" w:cstheme="majorBidi"/>
        </w:rPr>
        <w:t xml:space="preserve">. In the context of Islamic jurisprudence, </w:t>
      </w:r>
      <w:proofErr w:type="spellStart"/>
      <w:r>
        <w:rPr>
          <w:rFonts w:asciiTheme="majorBidi" w:hAnsiTheme="majorBidi" w:cstheme="majorBidi"/>
        </w:rPr>
        <w:t>ijab-kabul</w:t>
      </w:r>
      <w:proofErr w:type="spellEnd"/>
      <w:r>
        <w:rPr>
          <w:rFonts w:asciiTheme="majorBidi" w:hAnsiTheme="majorBidi" w:cstheme="majorBidi"/>
        </w:rPr>
        <w:t xml:space="preserve"> emerged as the prevailing tradition that governed trade transactions in prominent markets within the region, including the Banten Market and the </w:t>
      </w:r>
      <w:proofErr w:type="spellStart"/>
      <w:r>
        <w:rPr>
          <w:rFonts w:asciiTheme="majorBidi" w:hAnsiTheme="majorBidi" w:cstheme="majorBidi"/>
        </w:rPr>
        <w:t>Karangantu</w:t>
      </w:r>
      <w:proofErr w:type="spellEnd"/>
      <w:r>
        <w:rPr>
          <w:rFonts w:asciiTheme="majorBidi" w:hAnsiTheme="majorBidi" w:cstheme="majorBidi"/>
        </w:rPr>
        <w:t xml:space="preserve"> port. This process necessitates the presence of a clear trader (seller), buyer, and goods, as well as an agreement that is articulated verbally with witnesses, in accordance with sharia principles (</w:t>
      </w:r>
      <w:proofErr w:type="spellStart"/>
      <w:r>
        <w:rPr>
          <w:rFonts w:asciiTheme="majorBidi" w:hAnsiTheme="majorBidi" w:cstheme="majorBidi"/>
        </w:rPr>
        <w:t>Michrob</w:t>
      </w:r>
      <w:proofErr w:type="spellEnd"/>
      <w:r>
        <w:rPr>
          <w:rFonts w:asciiTheme="majorBidi" w:hAnsiTheme="majorBidi" w:cstheme="majorBidi"/>
        </w:rPr>
        <w:t>, 1987).</w:t>
      </w:r>
    </w:p>
    <w:p w:rsidR="00BC5B32" w:rsidRDefault="00093074">
      <w:pPr>
        <w:jc w:val="both"/>
        <w:rPr>
          <w:rFonts w:asciiTheme="majorBidi" w:hAnsiTheme="majorBidi" w:cstheme="majorBidi"/>
        </w:rPr>
      </w:pPr>
      <w:r>
        <w:rPr>
          <w:rFonts w:asciiTheme="majorBidi" w:hAnsiTheme="majorBidi" w:cstheme="majorBidi"/>
        </w:rPr>
        <w:t xml:space="preserve">In practice, in Banten, local customs frequently influence the process. These customs include the use of language and symbolic gestures that reflect the negotiation traditions of coastal communities. Small rituals, such as prayers or offerings before transactions, also play a role. These rituals are influenced by animist and Hindu-Buddhist beliefs. Clerics and nobles, in their capacity as market supervisors, are responsible for ensuring the integrity of the </w:t>
      </w:r>
      <w:proofErr w:type="spellStart"/>
      <w:r>
        <w:rPr>
          <w:rFonts w:asciiTheme="majorBidi" w:hAnsiTheme="majorBidi" w:cstheme="majorBidi"/>
        </w:rPr>
        <w:t>ijab-kabul</w:t>
      </w:r>
      <w:proofErr w:type="spellEnd"/>
      <w:r>
        <w:rPr>
          <w:rFonts w:asciiTheme="majorBidi" w:hAnsiTheme="majorBidi" w:cstheme="majorBidi"/>
        </w:rPr>
        <w:t xml:space="preserve"> process. However, the flexibility inherent in the implementation of these rules permits the integration of local values, such as respect for social relations between traders and buyers, thereby strengthening community ties. This tradition underscores the religious dimension of trade and fosters the establishment of an inclusive economic system, thereby enabling traders from diverse cultural backgrounds to engage in trade (</w:t>
      </w:r>
      <w:proofErr w:type="spellStart"/>
      <w:r>
        <w:rPr>
          <w:rFonts w:asciiTheme="majorBidi" w:hAnsiTheme="majorBidi" w:cstheme="majorBidi"/>
        </w:rPr>
        <w:t>Nurcholis</w:t>
      </w:r>
      <w:proofErr w:type="spellEnd"/>
      <w:r>
        <w:rPr>
          <w:rFonts w:asciiTheme="majorBidi" w:hAnsiTheme="majorBidi" w:cstheme="majorBidi"/>
        </w:rPr>
        <w:t xml:space="preserve">, 2016). </w:t>
      </w:r>
    </w:p>
    <w:p w:rsidR="00BC5B32" w:rsidRDefault="00093074">
      <w:pPr>
        <w:jc w:val="both"/>
        <w:rPr>
          <w:rFonts w:asciiTheme="majorBidi" w:hAnsiTheme="majorBidi" w:cstheme="majorBidi"/>
        </w:rPr>
      </w:pPr>
      <w:r>
        <w:rPr>
          <w:rFonts w:asciiTheme="majorBidi" w:hAnsiTheme="majorBidi" w:cstheme="majorBidi"/>
        </w:rPr>
        <w:t xml:space="preserve">Moreover, the </w:t>
      </w:r>
      <w:proofErr w:type="spellStart"/>
      <w:r>
        <w:rPr>
          <w:rFonts w:asciiTheme="majorBidi" w:hAnsiTheme="majorBidi" w:cstheme="majorBidi"/>
        </w:rPr>
        <w:t>ijab-kabul</w:t>
      </w:r>
      <w:proofErr w:type="spellEnd"/>
      <w:r>
        <w:rPr>
          <w:rFonts w:asciiTheme="majorBidi" w:hAnsiTheme="majorBidi" w:cstheme="majorBidi"/>
        </w:rPr>
        <w:t xml:space="preserve"> tradition in </w:t>
      </w:r>
      <w:proofErr w:type="spellStart"/>
      <w:r>
        <w:rPr>
          <w:rFonts w:asciiTheme="majorBidi" w:hAnsiTheme="majorBidi" w:cstheme="majorBidi"/>
        </w:rPr>
        <w:t>Bantenese</w:t>
      </w:r>
      <w:proofErr w:type="spellEnd"/>
      <w:r>
        <w:rPr>
          <w:rFonts w:asciiTheme="majorBidi" w:hAnsiTheme="majorBidi" w:cstheme="majorBidi"/>
        </w:rPr>
        <w:t xml:space="preserve"> trade exemplifies the adaptation of Islamic law to the evolving dynamics of the cosmopolitan maritime market, while concurrently preserving the endemic cultural identity of Banten. For instance, trade goods such as pepper, textiles, or ceramics, which are the primary commodities, are frequently exchanged using a barter system regulated through </w:t>
      </w:r>
      <w:proofErr w:type="spellStart"/>
      <w:r>
        <w:rPr>
          <w:rFonts w:asciiTheme="majorBidi" w:hAnsiTheme="majorBidi" w:cstheme="majorBidi"/>
        </w:rPr>
        <w:t>ijab-kabul</w:t>
      </w:r>
      <w:proofErr w:type="spellEnd"/>
      <w:r>
        <w:rPr>
          <w:rFonts w:asciiTheme="majorBidi" w:hAnsiTheme="majorBidi" w:cstheme="majorBidi"/>
        </w:rPr>
        <w:t xml:space="preserve">. However, the process can encompass customary elements such as the bestowal of gifts or down payments as a form of trust, which originate from local traditions. Furthermore, the role of mosques as centers of trade and religious education serves to reinforce the understanding of Islamic trade ethics, including the prohibition of usury and fraud, as taught by ulama (M. H. bin </w:t>
      </w:r>
      <w:proofErr w:type="spellStart"/>
      <w:r>
        <w:rPr>
          <w:rFonts w:asciiTheme="majorBidi" w:hAnsiTheme="majorBidi" w:cstheme="majorBidi"/>
        </w:rPr>
        <w:t>Moh</w:t>
      </w:r>
      <w:proofErr w:type="spellEnd"/>
      <w:r>
        <w:rPr>
          <w:rFonts w:asciiTheme="majorBidi" w:hAnsiTheme="majorBidi" w:cstheme="majorBidi"/>
        </w:rPr>
        <w:t xml:space="preserve"> Yusof, 2022).</w:t>
      </w:r>
    </w:p>
    <w:p w:rsidR="00BC5B32" w:rsidRDefault="00093074">
      <w:pPr>
        <w:jc w:val="both"/>
        <w:rPr>
          <w:rFonts w:asciiTheme="majorBidi" w:hAnsiTheme="majorBidi" w:cstheme="majorBidi"/>
        </w:rPr>
      </w:pPr>
      <w:r>
        <w:rPr>
          <w:rFonts w:asciiTheme="majorBidi" w:hAnsiTheme="majorBidi" w:cstheme="majorBidi"/>
        </w:rPr>
        <w:t xml:space="preserve">In practice, the people of Banten often combined these values with pre-Islamic traditions, such as the belief in auspicious days for trading or the use of amulets for good luck. This indicates a blend of Islam and pre-Islamic traditions. Conflicts between the adherence to Sharia law and the preservation of local customs were not uncommon, particularly in instances when ulama endeavored to impose more orthodox trading regulations. Nevertheless, the flexibility inherent in this </w:t>
      </w:r>
      <w:proofErr w:type="spellStart"/>
      <w:r>
        <w:rPr>
          <w:rFonts w:asciiTheme="majorBidi" w:hAnsiTheme="majorBidi" w:cstheme="majorBidi"/>
        </w:rPr>
        <w:t>ijab-kabul</w:t>
      </w:r>
      <w:proofErr w:type="spellEnd"/>
      <w:r>
        <w:rPr>
          <w:rFonts w:asciiTheme="majorBidi" w:hAnsiTheme="majorBidi" w:cstheme="majorBidi"/>
        </w:rPr>
        <w:t xml:space="preserve"> tradition enabled Banten to maintain its status as a dynamic trading hub, where Islamic law and customs complemented each other, giving rise to a trading system that was distinct and embedded within the context of </w:t>
      </w:r>
      <w:proofErr w:type="spellStart"/>
      <w:r>
        <w:rPr>
          <w:rFonts w:asciiTheme="majorBidi" w:hAnsiTheme="majorBidi" w:cstheme="majorBidi"/>
        </w:rPr>
        <w:t>Bantenese</w:t>
      </w:r>
      <w:proofErr w:type="spellEnd"/>
      <w:r>
        <w:rPr>
          <w:rFonts w:asciiTheme="majorBidi" w:hAnsiTheme="majorBidi" w:cstheme="majorBidi"/>
        </w:rPr>
        <w:t xml:space="preserve"> society in the 17th century (</w:t>
      </w:r>
      <w:proofErr w:type="spellStart"/>
      <w:r>
        <w:rPr>
          <w:rFonts w:asciiTheme="majorBidi" w:hAnsiTheme="majorBidi" w:cstheme="majorBidi"/>
        </w:rPr>
        <w:t>Rahmah</w:t>
      </w:r>
      <w:proofErr w:type="spellEnd"/>
      <w:r>
        <w:rPr>
          <w:rFonts w:asciiTheme="majorBidi" w:hAnsiTheme="majorBidi" w:cstheme="majorBidi"/>
        </w:rPr>
        <w:t>, 2023).</w:t>
      </w:r>
    </w:p>
    <w:p w:rsidR="00BC5B32" w:rsidRDefault="00093074">
      <w:pPr>
        <w:jc w:val="both"/>
        <w:rPr>
          <w:rFonts w:asciiTheme="majorBidi" w:hAnsiTheme="majorBidi" w:cstheme="majorBidi"/>
        </w:rPr>
      </w:pPr>
      <w:r>
        <w:rPr>
          <w:rFonts w:asciiTheme="majorBidi" w:hAnsiTheme="majorBidi" w:cstheme="majorBidi"/>
        </w:rPr>
        <w:lastRenderedPageBreak/>
        <w:t>Local traditions, imbued with Islamic nuances, play an important role in strengthening social cohesion at various levels of society, from the palace to the villagers, including the pepper farming community in Banten (</w:t>
      </w:r>
      <w:proofErr w:type="spellStart"/>
      <w:r>
        <w:rPr>
          <w:rFonts w:asciiTheme="majorBidi" w:hAnsiTheme="majorBidi" w:cstheme="majorBidi"/>
        </w:rPr>
        <w:t>Fadillah</w:t>
      </w:r>
      <w:proofErr w:type="spellEnd"/>
      <w:r>
        <w:rPr>
          <w:rFonts w:asciiTheme="majorBidi" w:hAnsiTheme="majorBidi" w:cstheme="majorBidi"/>
        </w:rPr>
        <w:t xml:space="preserve">, 2021). The community of pepper planters cultivated a modest yet robust communal ethos, characterized by a shared agrarian outlook and Islamic principles. Religious traditions, including congregational prayers, the commemoration of the Prophet Muhammad's birthday, and mutual cooperation in agricultural activities, functioned as a social glue, thereby strengthening solidarity among residents. The positive relationship between village heads and the Banten government resulted in the establishment of a robust patronage system, thereby ensuring social and political stability (W. </w:t>
      </w:r>
      <w:proofErr w:type="spellStart"/>
      <w:r>
        <w:rPr>
          <w:rFonts w:asciiTheme="majorBidi" w:hAnsiTheme="majorBidi" w:cstheme="majorBidi"/>
        </w:rPr>
        <w:t>Wasehudin</w:t>
      </w:r>
      <w:proofErr w:type="spellEnd"/>
      <w:r>
        <w:rPr>
          <w:rFonts w:asciiTheme="majorBidi" w:hAnsiTheme="majorBidi" w:cstheme="majorBidi"/>
        </w:rPr>
        <w:t>, 2024). This patronage not only strengthened community loyalty to the government but also facilitated the flow of resources and protection from the center of power to the village, thereby fostering harmony among societal levels.</w:t>
      </w:r>
    </w:p>
    <w:p w:rsidR="00BC5B32" w:rsidRDefault="00093074">
      <w:pPr>
        <w:jc w:val="both"/>
        <w:rPr>
          <w:rFonts w:asciiTheme="majorBidi" w:hAnsiTheme="majorBidi" w:cstheme="majorBidi"/>
        </w:rPr>
      </w:pPr>
      <w:r>
        <w:rPr>
          <w:rFonts w:asciiTheme="majorBidi" w:hAnsiTheme="majorBidi" w:cstheme="majorBidi"/>
        </w:rPr>
        <w:t xml:space="preserve">A salient traditional product among pepper farmers is the </w:t>
      </w:r>
      <w:proofErr w:type="spellStart"/>
      <w:r>
        <w:rPr>
          <w:rFonts w:asciiTheme="majorBidi" w:hAnsiTheme="majorBidi" w:cstheme="majorBidi"/>
        </w:rPr>
        <w:t>selamatan</w:t>
      </w:r>
      <w:proofErr w:type="spellEnd"/>
      <w:r>
        <w:rPr>
          <w:rFonts w:asciiTheme="majorBidi" w:hAnsiTheme="majorBidi" w:cstheme="majorBidi"/>
        </w:rPr>
        <w:t xml:space="preserve"> culture, which is deeply rooted in agrarian and religious life. </w:t>
      </w:r>
      <w:proofErr w:type="spellStart"/>
      <w:r>
        <w:rPr>
          <w:rFonts w:asciiTheme="majorBidi" w:hAnsiTheme="majorBidi" w:cstheme="majorBidi"/>
        </w:rPr>
        <w:t>Selamatan</w:t>
      </w:r>
      <w:proofErr w:type="spellEnd"/>
      <w:r>
        <w:rPr>
          <w:rFonts w:asciiTheme="majorBidi" w:hAnsiTheme="majorBidi" w:cstheme="majorBidi"/>
        </w:rPr>
        <w:t xml:space="preserve">, which is often held before or after the planting and harvest seasons, involves ceremonies with prayers recited in Arabic, Javanese, or Sundanese, reflecting the syncretism of local and Islamic cultures (W. S. </w:t>
      </w:r>
      <w:proofErr w:type="spellStart"/>
      <w:r>
        <w:rPr>
          <w:rFonts w:asciiTheme="majorBidi" w:hAnsiTheme="majorBidi" w:cstheme="majorBidi"/>
        </w:rPr>
        <w:t>Hidayatullah</w:t>
      </w:r>
      <w:proofErr w:type="spellEnd"/>
      <w:r>
        <w:rPr>
          <w:rFonts w:asciiTheme="majorBidi" w:hAnsiTheme="majorBidi" w:cstheme="majorBidi"/>
        </w:rPr>
        <w:t xml:space="preserve">, 2024). This ceremony is not merely a religious ritual; it is also a means to cultivate collective optimism that God will accept their offerings, thereby ensuring abundant agricultural yields. </w:t>
      </w:r>
      <w:proofErr w:type="spellStart"/>
      <w:r>
        <w:rPr>
          <w:rFonts w:asciiTheme="majorBidi" w:hAnsiTheme="majorBidi" w:cstheme="majorBidi"/>
        </w:rPr>
        <w:t>Selamatan</w:t>
      </w:r>
      <w:proofErr w:type="spellEnd"/>
      <w:r>
        <w:rPr>
          <w:rFonts w:asciiTheme="majorBidi" w:hAnsiTheme="majorBidi" w:cstheme="majorBidi"/>
        </w:rPr>
        <w:t xml:space="preserve"> functions as a catalyst for the strengthening of interpersonal relationships among residents, given its emphasis on collective participation in the planning and execution of the event. Accordingly, this tradition has been demonstrated to have a dual effect, serving to fortify both the spiritual dimension and the social bonds and collective identity of farmers (</w:t>
      </w:r>
      <w:proofErr w:type="spellStart"/>
      <w:r>
        <w:rPr>
          <w:rFonts w:asciiTheme="majorBidi" w:hAnsiTheme="majorBidi" w:cstheme="majorBidi"/>
        </w:rPr>
        <w:t>Nuralia</w:t>
      </w:r>
      <w:proofErr w:type="spellEnd"/>
      <w:r>
        <w:rPr>
          <w:rFonts w:asciiTheme="majorBidi" w:hAnsiTheme="majorBidi" w:cstheme="majorBidi"/>
        </w:rPr>
        <w:t>, 2022).</w:t>
      </w:r>
    </w:p>
    <w:p w:rsidR="00BC5B32" w:rsidRDefault="00093074">
      <w:pPr>
        <w:jc w:val="both"/>
        <w:rPr>
          <w:rFonts w:asciiTheme="majorBidi" w:hAnsiTheme="majorBidi" w:cstheme="majorBidi"/>
        </w:rPr>
      </w:pPr>
      <w:r>
        <w:rPr>
          <w:rFonts w:asciiTheme="majorBidi" w:hAnsiTheme="majorBidi" w:cstheme="majorBidi"/>
        </w:rPr>
        <w:t xml:space="preserve">The </w:t>
      </w:r>
      <w:proofErr w:type="spellStart"/>
      <w:r>
        <w:rPr>
          <w:rFonts w:asciiTheme="majorBidi" w:hAnsiTheme="majorBidi" w:cstheme="majorBidi"/>
        </w:rPr>
        <w:t>selamatan</w:t>
      </w:r>
      <w:proofErr w:type="spellEnd"/>
      <w:r>
        <w:rPr>
          <w:rFonts w:asciiTheme="majorBidi" w:hAnsiTheme="majorBidi" w:cstheme="majorBidi"/>
        </w:rPr>
        <w:t xml:space="preserve"> culture has been shown to positively impact the motivation of pepper farmers to improve the quality of their agriculture. The belief that </w:t>
      </w:r>
      <w:proofErr w:type="spellStart"/>
      <w:r>
        <w:rPr>
          <w:rFonts w:asciiTheme="majorBidi" w:hAnsiTheme="majorBidi" w:cstheme="majorBidi"/>
        </w:rPr>
        <w:t>selamatan</w:t>
      </w:r>
      <w:proofErr w:type="spellEnd"/>
      <w:r>
        <w:rPr>
          <w:rFonts w:asciiTheme="majorBidi" w:hAnsiTheme="majorBidi" w:cstheme="majorBidi"/>
        </w:rPr>
        <w:t xml:space="preserve"> ceremonies can bring blessings for the harvest encourages farmers to pay more attention to farming techniques, plant maintenance, and land management. A successful harvest is expected to not only meet local demand but also enhance the market position of Banten pepper as a competitive trading commodity. Consequently, local traditions imbued with Islamic nuances, such as </w:t>
      </w:r>
      <w:proofErr w:type="spellStart"/>
      <w:r>
        <w:rPr>
          <w:rFonts w:asciiTheme="majorBidi" w:hAnsiTheme="majorBidi" w:cstheme="majorBidi"/>
        </w:rPr>
        <w:t>selamatan</w:t>
      </w:r>
      <w:proofErr w:type="spellEnd"/>
      <w:r>
        <w:rPr>
          <w:rFonts w:asciiTheme="majorBidi" w:hAnsiTheme="majorBidi" w:cstheme="majorBidi"/>
        </w:rPr>
        <w:t>, function not only as social cohesive forces but also as economic catalysts that underpin community welfare. The integration of Islamic values in this agrarian tradition engenders a positive cycle between spirituality, social cohesion, and economic productivity, thereby ultimately strengthening the social structure from the village to the palace.</w:t>
      </w:r>
    </w:p>
    <w:p w:rsidR="00BC5B32" w:rsidRDefault="00093074">
      <w:pPr>
        <w:jc w:val="both"/>
        <w:rPr>
          <w:rFonts w:asciiTheme="majorBidi" w:hAnsiTheme="majorBidi" w:cstheme="majorBidi"/>
        </w:rPr>
      </w:pPr>
      <w:r>
        <w:rPr>
          <w:rFonts w:asciiTheme="majorBidi" w:hAnsiTheme="majorBidi" w:cstheme="majorBidi"/>
        </w:rPr>
        <w:t xml:space="preserve">The tradition of </w:t>
      </w:r>
      <w:proofErr w:type="spellStart"/>
      <w:r>
        <w:rPr>
          <w:rFonts w:asciiTheme="majorBidi" w:hAnsiTheme="majorBidi" w:cstheme="majorBidi"/>
        </w:rPr>
        <w:t>selamatan</w:t>
      </w:r>
      <w:proofErr w:type="spellEnd"/>
      <w:r>
        <w:rPr>
          <w:rFonts w:asciiTheme="majorBidi" w:hAnsiTheme="majorBidi" w:cstheme="majorBidi"/>
        </w:rPr>
        <w:t xml:space="preserve"> in the Banten market serves as a tangible illustration of the symbiotic relationship between Islamic values and local culture, fostering a profound sense of social cohesion among traders and other economic actors. The </w:t>
      </w:r>
      <w:proofErr w:type="spellStart"/>
      <w:r>
        <w:rPr>
          <w:rFonts w:asciiTheme="majorBidi" w:hAnsiTheme="majorBidi" w:cstheme="majorBidi"/>
        </w:rPr>
        <w:t>selamatan</w:t>
      </w:r>
      <w:proofErr w:type="spellEnd"/>
      <w:r>
        <w:rPr>
          <w:rFonts w:asciiTheme="majorBidi" w:hAnsiTheme="majorBidi" w:cstheme="majorBidi"/>
        </w:rPr>
        <w:t xml:space="preserve"> ceremony in the market typically involves an Islamic teacher who leads a collective prayer, attended by traders and individuals who are directly or indirectly connected to market activities, such as transporters or intermediaries. The ritual culminates in a communal meal, a practice that fosters relational bonds among participants, engendering a sense of unity and collective identity. The primary objective of </w:t>
      </w:r>
      <w:proofErr w:type="spellStart"/>
      <w:r>
        <w:rPr>
          <w:rFonts w:asciiTheme="majorBidi" w:hAnsiTheme="majorBidi" w:cstheme="majorBidi"/>
        </w:rPr>
        <w:t>selamatan</w:t>
      </w:r>
      <w:proofErr w:type="spellEnd"/>
      <w:r>
        <w:rPr>
          <w:rFonts w:asciiTheme="majorBidi" w:hAnsiTheme="majorBidi" w:cstheme="majorBidi"/>
        </w:rPr>
        <w:t xml:space="preserve"> is to request divine blessings for the safety and prosperity of the traders' business endeavors, with the hope of averting potential losses or conflicts. In this context, </w:t>
      </w:r>
      <w:proofErr w:type="spellStart"/>
      <w:r>
        <w:rPr>
          <w:rFonts w:asciiTheme="majorBidi" w:hAnsiTheme="majorBidi" w:cstheme="majorBidi"/>
        </w:rPr>
        <w:t>selamatan</w:t>
      </w:r>
      <w:proofErr w:type="spellEnd"/>
      <w:r>
        <w:rPr>
          <w:rFonts w:asciiTheme="majorBidi" w:hAnsiTheme="majorBidi" w:cstheme="majorBidi"/>
        </w:rPr>
        <w:t xml:space="preserve"> functions not only as a spiritual expression but also as a means to cultivate collective </w:t>
      </w:r>
      <w:r>
        <w:rPr>
          <w:rFonts w:asciiTheme="majorBidi" w:hAnsiTheme="majorBidi" w:cstheme="majorBidi"/>
        </w:rPr>
        <w:lastRenderedPageBreak/>
        <w:t>optimism and fortify social networks in a dynamic market environment (</w:t>
      </w:r>
      <w:proofErr w:type="spellStart"/>
      <w:r>
        <w:rPr>
          <w:rFonts w:asciiTheme="majorBidi" w:hAnsiTheme="majorBidi" w:cstheme="majorBidi"/>
        </w:rPr>
        <w:t>Kathirithamby</w:t>
      </w:r>
      <w:proofErr w:type="spellEnd"/>
      <w:r>
        <w:rPr>
          <w:rFonts w:asciiTheme="majorBidi" w:hAnsiTheme="majorBidi" w:cstheme="majorBidi"/>
        </w:rPr>
        <w:t>-Wells, 1986).</w:t>
      </w:r>
    </w:p>
    <w:p w:rsidR="00BC5B32" w:rsidRDefault="00093074">
      <w:pPr>
        <w:jc w:val="both"/>
        <w:rPr>
          <w:rFonts w:asciiTheme="majorBidi" w:hAnsiTheme="majorBidi" w:cstheme="majorBidi"/>
        </w:rPr>
      </w:pPr>
      <w:r>
        <w:rPr>
          <w:rFonts w:asciiTheme="majorBidi" w:hAnsiTheme="majorBidi" w:cstheme="majorBidi"/>
        </w:rPr>
        <w:t xml:space="preserve">The practice of </w:t>
      </w:r>
      <w:proofErr w:type="spellStart"/>
      <w:r>
        <w:rPr>
          <w:rFonts w:asciiTheme="majorBidi" w:hAnsiTheme="majorBidi" w:cstheme="majorBidi"/>
        </w:rPr>
        <w:t>selamatan</w:t>
      </w:r>
      <w:proofErr w:type="spellEnd"/>
      <w:r>
        <w:rPr>
          <w:rFonts w:asciiTheme="majorBidi" w:hAnsiTheme="majorBidi" w:cstheme="majorBidi"/>
        </w:rPr>
        <w:t xml:space="preserve"> tradition in Banten market plays a significant role in maintaining solidarity among traders, particularly among indigenous traders such as Javanese and Sundanese. This tradition fosters healthy competition and prevents detrimental price wars, thereby contributing to the stability and prosperity of the market. This tradition fosters an environment conducive to the interaction among traders, the exchange of values, and the establishment of trust, thereby mitigating the likelihood of conflict arising from business competition. The practice of </w:t>
      </w:r>
      <w:proofErr w:type="spellStart"/>
      <w:r>
        <w:rPr>
          <w:rFonts w:asciiTheme="majorBidi" w:hAnsiTheme="majorBidi" w:cstheme="majorBidi"/>
        </w:rPr>
        <w:t>selamatan</w:t>
      </w:r>
      <w:proofErr w:type="spellEnd"/>
      <w:r>
        <w:rPr>
          <w:rFonts w:asciiTheme="majorBidi" w:hAnsiTheme="majorBidi" w:cstheme="majorBidi"/>
        </w:rPr>
        <w:t xml:space="preserve">, characterized by collective prayers and shared meals, has been identified as a catalyst for strengthening emotional and social bonds, fostering mutual respect, and promoting cooperation, thereby contributing to the stability of the market economy. Furthermore, this tradition becomes a cultural identity that distinguishes indigenous traders, while strengthening their position in the Banten trade ecosystem. Consequently, </w:t>
      </w:r>
      <w:proofErr w:type="spellStart"/>
      <w:r>
        <w:rPr>
          <w:rFonts w:asciiTheme="majorBidi" w:hAnsiTheme="majorBidi" w:cstheme="majorBidi"/>
        </w:rPr>
        <w:t>selamatan</w:t>
      </w:r>
      <w:proofErr w:type="spellEnd"/>
      <w:r>
        <w:rPr>
          <w:rFonts w:asciiTheme="majorBidi" w:hAnsiTheme="majorBidi" w:cstheme="majorBidi"/>
        </w:rPr>
        <w:t xml:space="preserve"> not only fosters spiritual and economic dimensions, but also functions as a social cohesive force that sustains the harmony and viability of market activities (</w:t>
      </w:r>
      <w:proofErr w:type="spellStart"/>
      <w:r>
        <w:rPr>
          <w:rFonts w:asciiTheme="majorBidi" w:hAnsiTheme="majorBidi" w:cstheme="majorBidi"/>
        </w:rPr>
        <w:t>Asari</w:t>
      </w:r>
      <w:proofErr w:type="spellEnd"/>
      <w:r>
        <w:rPr>
          <w:rFonts w:asciiTheme="majorBidi" w:hAnsiTheme="majorBidi" w:cstheme="majorBidi"/>
        </w:rPr>
        <w:t>, 2022).</w:t>
      </w:r>
    </w:p>
    <w:p w:rsidR="00BC5B32" w:rsidRDefault="00093074">
      <w:pPr>
        <w:jc w:val="both"/>
        <w:rPr>
          <w:rFonts w:asciiTheme="majorBidi" w:hAnsiTheme="majorBidi" w:cstheme="majorBidi"/>
        </w:rPr>
      </w:pPr>
      <w:r>
        <w:rPr>
          <w:rFonts w:asciiTheme="majorBidi" w:hAnsiTheme="majorBidi" w:cstheme="majorBidi"/>
        </w:rPr>
        <w:t xml:space="preserve">The presence of the mosque in proximity to the Banten palace and the </w:t>
      </w:r>
      <w:proofErr w:type="spellStart"/>
      <w:r>
        <w:rPr>
          <w:rFonts w:asciiTheme="majorBidi" w:hAnsiTheme="majorBidi" w:cstheme="majorBidi"/>
        </w:rPr>
        <w:t>Karangantu</w:t>
      </w:r>
      <w:proofErr w:type="spellEnd"/>
      <w:r>
        <w:rPr>
          <w:rFonts w:asciiTheme="majorBidi" w:hAnsiTheme="majorBidi" w:cstheme="majorBidi"/>
        </w:rPr>
        <w:t xml:space="preserve"> port serves as a compelling symbol of the intersection between local traditions and Islamic teachings, thereby creating a space that is imbued with both sacredness and social and economic dynamism. The mosque serves as a focal point for diverse ethnic groups, including Javanese, Sundanese, Malay, and foreign traders, who congregate in the bustling port area. In this context, the mosque functions as an inclusive Muslim ecosystem that fosters cross-cultural interaction, thereby strengthening social cohesion through Islamic values such as justice, togetherness, and mutual respect. Local traditions, such as mutual cooperation and deliberation, blend with Islamic teachings, creating a spirit of trade rooted in the local economic ethos. The mosque's strategic location serves as a symbol of the integration of spirituality and worldly activities, thereby encouraging the emergence of a trade network that is oriented not only towards profit but also towards Islamic moral values (</w:t>
      </w:r>
      <w:proofErr w:type="spellStart"/>
      <w:r>
        <w:rPr>
          <w:rFonts w:asciiTheme="majorBidi" w:hAnsiTheme="majorBidi" w:cstheme="majorBidi"/>
        </w:rPr>
        <w:t>Bahauddin</w:t>
      </w:r>
      <w:proofErr w:type="spellEnd"/>
      <w:r>
        <w:rPr>
          <w:rFonts w:asciiTheme="majorBidi" w:hAnsiTheme="majorBidi" w:cstheme="majorBidi"/>
        </w:rPr>
        <w:t>, 2015).</w:t>
      </w:r>
    </w:p>
    <w:p w:rsidR="00BC5B32" w:rsidRDefault="00093074">
      <w:pPr>
        <w:jc w:val="both"/>
        <w:rPr>
          <w:rFonts w:asciiTheme="majorBidi" w:hAnsiTheme="majorBidi" w:cstheme="majorBidi"/>
        </w:rPr>
      </w:pPr>
      <w:r>
        <w:rPr>
          <w:rFonts w:asciiTheme="majorBidi" w:hAnsiTheme="majorBidi" w:cstheme="majorBidi"/>
        </w:rPr>
        <w:t xml:space="preserve">The mosque near </w:t>
      </w:r>
      <w:proofErr w:type="spellStart"/>
      <w:r>
        <w:rPr>
          <w:rFonts w:asciiTheme="majorBidi" w:hAnsiTheme="majorBidi" w:cstheme="majorBidi"/>
        </w:rPr>
        <w:t>Karangantu</w:t>
      </w:r>
      <w:proofErr w:type="spellEnd"/>
      <w:r>
        <w:rPr>
          <w:rFonts w:asciiTheme="majorBidi" w:hAnsiTheme="majorBidi" w:cstheme="majorBidi"/>
        </w:rPr>
        <w:t xml:space="preserve"> port functioned as a multifaceted institution, serving not only as a place of worship but also as a center for social and economic activities that connected traders from various backgrounds. Following the performance of their prayers, worshippers frequently utilized the mosque courtyard or the surrounding area for the purpose of sharing information, establishing business partnerships, and even executing trade transactions. This interaction engendered a competitive yet harmonious trade climate, where trust and solidarity among traders were fortified by the bonds of faith. The mosque also became a place to spread knowledge about sharia-compliant trade practices, such as the prohibition of usury and the importance of honesty, which were in line with local economic traditions that emphasized the sustainability of long-term relationships. Consequently, the mosque functioned as a unifying social and spiritual institution, thereby contributing to the development of Banten's maritime economy. This role is significant because it established the city as a commercial hub that integrated local customs and Islamic principles, fostering a harmonious balance between tradition and religion (R. A. </w:t>
      </w:r>
      <w:proofErr w:type="spellStart"/>
      <w:r>
        <w:rPr>
          <w:rFonts w:asciiTheme="majorBidi" w:hAnsiTheme="majorBidi" w:cstheme="majorBidi"/>
        </w:rPr>
        <w:t>Kusmawardhani</w:t>
      </w:r>
      <w:proofErr w:type="spellEnd"/>
      <w:r>
        <w:rPr>
          <w:rFonts w:asciiTheme="majorBidi" w:hAnsiTheme="majorBidi" w:cstheme="majorBidi"/>
        </w:rPr>
        <w:t>, 2021).</w:t>
      </w:r>
    </w:p>
    <w:p w:rsidR="00BC5B32" w:rsidRDefault="00BC5B32">
      <w:pPr>
        <w:jc w:val="center"/>
        <w:rPr>
          <w:rFonts w:asciiTheme="majorBidi" w:hAnsiTheme="majorBidi" w:cstheme="majorBidi"/>
          <w:b/>
          <w:bCs/>
        </w:rPr>
      </w:pPr>
    </w:p>
    <w:p w:rsidR="00BC5B32" w:rsidRDefault="00093074">
      <w:pPr>
        <w:jc w:val="center"/>
        <w:rPr>
          <w:rFonts w:asciiTheme="majorBidi" w:hAnsiTheme="majorBidi" w:cstheme="majorBidi"/>
          <w:b/>
          <w:bCs/>
        </w:rPr>
      </w:pPr>
      <w:r>
        <w:rPr>
          <w:rFonts w:asciiTheme="majorBidi" w:hAnsiTheme="majorBidi" w:cstheme="majorBidi"/>
          <w:b/>
          <w:bCs/>
        </w:rPr>
        <w:t>Conclusion</w:t>
      </w:r>
    </w:p>
    <w:p w:rsidR="00BC5B32" w:rsidRDefault="00093074">
      <w:pPr>
        <w:jc w:val="both"/>
        <w:rPr>
          <w:rFonts w:asciiTheme="majorBidi" w:hAnsiTheme="majorBidi" w:cstheme="majorBidi"/>
        </w:rPr>
      </w:pPr>
      <w:r>
        <w:rPr>
          <w:rFonts w:asciiTheme="majorBidi" w:hAnsiTheme="majorBidi" w:cstheme="majorBidi"/>
        </w:rPr>
        <w:t xml:space="preserve">The commercial exchange in the Banten market experienced a period of significant growth and development during the 17th century, primarily due to the presence of a robust economic ecosystem. This ecosystem was characterized by the cohesion among traders and the adherence to economic traditions that were deeply entrenched within the local community. The practice of </w:t>
      </w:r>
      <w:proofErr w:type="spellStart"/>
      <w:r>
        <w:rPr>
          <w:rFonts w:asciiTheme="majorBidi" w:hAnsiTheme="majorBidi" w:cstheme="majorBidi"/>
        </w:rPr>
        <w:t>ijab</w:t>
      </w:r>
      <w:proofErr w:type="spellEnd"/>
      <w:r>
        <w:rPr>
          <w:rFonts w:asciiTheme="majorBidi" w:hAnsiTheme="majorBidi" w:cstheme="majorBidi"/>
        </w:rPr>
        <w:t xml:space="preserve"> </w:t>
      </w:r>
      <w:proofErr w:type="spellStart"/>
      <w:r>
        <w:rPr>
          <w:rFonts w:asciiTheme="majorBidi" w:hAnsiTheme="majorBidi" w:cstheme="majorBidi"/>
        </w:rPr>
        <w:t>qabul</w:t>
      </w:r>
      <w:proofErr w:type="spellEnd"/>
      <w:r>
        <w:rPr>
          <w:rFonts w:asciiTheme="majorBidi" w:hAnsiTheme="majorBidi" w:cstheme="majorBidi"/>
        </w:rPr>
        <w:t xml:space="preserve"> in trade transactions reflected the values of trust and justice that were the foundation of trade relations. Furthermore, the </w:t>
      </w:r>
      <w:proofErr w:type="spellStart"/>
      <w:r>
        <w:rPr>
          <w:rFonts w:asciiTheme="majorBidi" w:hAnsiTheme="majorBidi" w:cstheme="majorBidi"/>
        </w:rPr>
        <w:t>selamatan</w:t>
      </w:r>
      <w:proofErr w:type="spellEnd"/>
      <w:r>
        <w:rPr>
          <w:rFonts w:asciiTheme="majorBidi" w:hAnsiTheme="majorBidi" w:cstheme="majorBidi"/>
        </w:rPr>
        <w:t xml:space="preserve"> tradition, observed in plantation villages and trading communities, served to fortify social bonds among economic actors, encompassing both farmers and traders. This tradition functions as both a religious ritual and a means to foster solidarity and cooperation, which are the main factors in maintaining the stability of the trade ecosystem. Mosques, as institutions that facilitate religious activities, also play an instrumental role in strengthening social cohesion. These religious centers provide physical spaces that encourage social interaction, thereby fostering a sense of community and trust among their congregations.</w:t>
      </w:r>
      <w:r w:rsidR="0096746C">
        <w:rPr>
          <w:rFonts w:asciiTheme="majorBidi" w:hAnsiTheme="majorBidi" w:cstheme="majorBidi"/>
        </w:rPr>
        <w:t xml:space="preserve"> </w:t>
      </w:r>
      <w:r>
        <w:rPr>
          <w:rFonts w:asciiTheme="majorBidi" w:hAnsiTheme="majorBidi" w:cstheme="majorBidi"/>
        </w:rPr>
        <w:t>The combination of robust economic traditions and social cohesion enabled traders and farmers in Banten to execute economic activities with efficiency and sustainability, thereby establishing the Banten market as a prominent trading center in the region during the 17th century.</w:t>
      </w:r>
    </w:p>
    <w:p w:rsidR="00BC5B32" w:rsidRDefault="00093074">
      <w:pPr>
        <w:jc w:val="center"/>
        <w:rPr>
          <w:rFonts w:asciiTheme="majorBidi" w:hAnsiTheme="majorBidi" w:cstheme="majorBidi"/>
          <w:b/>
          <w:bCs/>
        </w:rPr>
      </w:pPr>
      <w:r>
        <w:rPr>
          <w:rFonts w:asciiTheme="majorBidi" w:hAnsiTheme="majorBidi" w:cstheme="majorBidi"/>
          <w:b/>
          <w:bCs/>
        </w:rPr>
        <w:t>Acknowledgments</w:t>
      </w:r>
    </w:p>
    <w:p w:rsidR="00BC5B32" w:rsidRDefault="00093074">
      <w:pPr>
        <w:jc w:val="both"/>
        <w:rPr>
          <w:rFonts w:asciiTheme="majorBidi" w:hAnsiTheme="majorBidi" w:cstheme="majorBidi"/>
        </w:rPr>
      </w:pPr>
      <w:r>
        <w:rPr>
          <w:rFonts w:asciiTheme="majorBidi" w:hAnsiTheme="majorBidi" w:cstheme="majorBidi"/>
        </w:rPr>
        <w:t xml:space="preserve">The author wishes to express his profound respect and gratitude to all parties who have provided support, encouragement, and contributions in the process of compiling this research. The author would also like to express his gratitude to the archivists and librarians at the National Library of the Republic of Indonesia and the Banten Museum, who have helped the author access primary documents and important literature on the history of the Banten Sultanate and the pepper trade in Southeast Asia. The author would also like to thank previous historians and researchers, such as Anthony Reid, M.C. </w:t>
      </w:r>
      <w:proofErr w:type="spellStart"/>
      <w:r>
        <w:rPr>
          <w:rFonts w:asciiTheme="majorBidi" w:hAnsiTheme="majorBidi" w:cstheme="majorBidi"/>
        </w:rPr>
        <w:t>Ricklefs</w:t>
      </w:r>
      <w:proofErr w:type="spellEnd"/>
      <w:r>
        <w:rPr>
          <w:rFonts w:asciiTheme="majorBidi" w:hAnsiTheme="majorBidi" w:cstheme="majorBidi"/>
        </w:rPr>
        <w:t>, and H.J. de Graaf, whose works form the intellectual foundation of this study. The author's ability to construct a robust and exhaustive analytical framework would not have been possible without these academic contributions. The author accepts full responsibility for any shortcomings in the compilation of this research, and it is hoped that this work will provide a modest yet significant contribution to the study of Indonesian maritime history and our understanding of the complexity of the relationship between economics and politics in the past.</w:t>
      </w:r>
    </w:p>
    <w:p w:rsidR="00BC5B32" w:rsidRDefault="00093074">
      <w:pPr>
        <w:pStyle w:val="Bibliografi1"/>
        <w:spacing w:line="360" w:lineRule="auto"/>
        <w:jc w:val="both"/>
        <w:rPr>
          <w:rFonts w:asciiTheme="majorBidi" w:hAnsiTheme="majorBidi" w:cstheme="majorBidi"/>
          <w:sz w:val="24"/>
          <w:szCs w:val="24"/>
        </w:rPr>
      </w:pPr>
      <w:r>
        <w:rPr>
          <w:rFonts w:asciiTheme="majorBidi" w:hAnsiTheme="majorBidi" w:cstheme="majorBidi"/>
          <w:b/>
          <w:bCs/>
          <w:sz w:val="24"/>
          <w:szCs w:val="24"/>
          <w:lang w:val="fi-FI"/>
        </w:rPr>
        <w:fldChar w:fldCharType="begin"/>
      </w:r>
      <w:r>
        <w:rPr>
          <w:rFonts w:asciiTheme="majorBidi" w:hAnsiTheme="majorBidi" w:cstheme="majorBidi"/>
          <w:b/>
          <w:bCs/>
          <w:sz w:val="24"/>
          <w:szCs w:val="24"/>
          <w:lang w:val="en-US"/>
        </w:rPr>
        <w:instrText xml:space="preserve"> BIBLIOGRAPHY  \l 1033 </w:instrText>
      </w:r>
      <w:r>
        <w:rPr>
          <w:rFonts w:asciiTheme="majorBidi" w:hAnsiTheme="majorBidi" w:cstheme="majorBidi"/>
          <w:b/>
          <w:bCs/>
          <w:sz w:val="24"/>
          <w:szCs w:val="24"/>
          <w:lang w:val="fi-FI"/>
        </w:rPr>
        <w:fldChar w:fldCharType="separate"/>
      </w:r>
    </w:p>
    <w:sdt>
      <w:sdtPr>
        <w:rPr>
          <w:rFonts w:asciiTheme="minorHAnsi" w:eastAsiaTheme="minorHAnsi" w:hAnsiTheme="minorHAnsi" w:cstheme="minorBidi"/>
          <w:color w:val="auto"/>
          <w:sz w:val="22"/>
          <w:szCs w:val="22"/>
        </w:rPr>
        <w:id w:val="549202878"/>
      </w:sdtPr>
      <w:sdtEndPr>
        <w:rPr>
          <w:rFonts w:eastAsiaTheme="minorEastAsia"/>
          <w:sz w:val="24"/>
          <w:szCs w:val="24"/>
        </w:rPr>
      </w:sdtEndPr>
      <w:sdtContent>
        <w:p w:rsidR="00BC5B32" w:rsidRDefault="00D968D8">
          <w:pPr>
            <w:pStyle w:val="Judul1"/>
            <w:spacing w:after="480"/>
            <w:jc w:val="center"/>
            <w:rPr>
              <w:rFonts w:asciiTheme="majorBidi" w:hAnsiTheme="majorBidi"/>
              <w:b/>
              <w:bCs/>
              <w:color w:val="auto"/>
              <w:sz w:val="24"/>
              <w:szCs w:val="24"/>
            </w:rPr>
          </w:pPr>
          <w:r>
            <w:rPr>
              <w:rFonts w:asciiTheme="majorBidi" w:hAnsiTheme="majorBidi"/>
              <w:b/>
              <w:bCs/>
              <w:color w:val="auto"/>
              <w:sz w:val="24"/>
              <w:szCs w:val="24"/>
            </w:rPr>
            <w:t>R</w:t>
          </w:r>
          <w:r w:rsidR="00093074">
            <w:rPr>
              <w:rFonts w:asciiTheme="majorBidi" w:hAnsiTheme="majorBidi"/>
              <w:b/>
              <w:bCs/>
              <w:color w:val="auto"/>
              <w:sz w:val="24"/>
              <w:szCs w:val="24"/>
            </w:rPr>
            <w:t>EFERENCES</w:t>
          </w:r>
        </w:p>
        <w:sdt>
          <w:sdtPr>
            <w:rPr>
              <w:sz w:val="24"/>
              <w:szCs w:val="24"/>
              <w:lang w:val="en-US"/>
            </w:rPr>
            <w:id w:val="111145805"/>
          </w:sdtPr>
          <w:sdtEndPr/>
          <w:sdtContent>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fldChar w:fldCharType="begin"/>
              </w:r>
              <w:r>
                <w:rPr>
                  <w:rFonts w:asciiTheme="majorBidi" w:hAnsiTheme="majorBidi" w:cstheme="majorBidi"/>
                  <w:sz w:val="24"/>
                  <w:szCs w:val="24"/>
                </w:rPr>
                <w:instrText xml:space="preserve"> BIBLIOGRAPHY </w:instrText>
              </w:r>
              <w:r>
                <w:rPr>
                  <w:rFonts w:asciiTheme="majorBidi" w:hAnsiTheme="majorBidi" w:cstheme="majorBidi"/>
                  <w:sz w:val="24"/>
                  <w:szCs w:val="24"/>
                </w:rPr>
                <w:fldChar w:fldCharType="separate"/>
              </w:r>
              <w:r>
                <w:rPr>
                  <w:rFonts w:asciiTheme="majorBidi" w:hAnsiTheme="majorBidi" w:cstheme="majorBidi"/>
                  <w:sz w:val="24"/>
                  <w:szCs w:val="24"/>
                </w:rPr>
                <w:t xml:space="preserve">A. R. Krisnadi, A. T. (2024). The meaning and function congcot–a rice cone in the ritual of life Baduy outer community, Banten Province. </w:t>
              </w:r>
              <w:r>
                <w:rPr>
                  <w:rFonts w:asciiTheme="majorBidi" w:hAnsiTheme="majorBidi" w:cstheme="majorBidi"/>
                  <w:i/>
                  <w:iCs/>
                  <w:sz w:val="24"/>
                  <w:szCs w:val="24"/>
                </w:rPr>
                <w:t xml:space="preserve">In IOP Conference Series: Earth and Environmental Science </w:t>
              </w:r>
              <w:r>
                <w:rPr>
                  <w:rFonts w:asciiTheme="majorBidi" w:hAnsiTheme="majorBidi" w:cstheme="majorBidi"/>
                  <w:sz w:val="24"/>
                  <w:szCs w:val="24"/>
                </w:rPr>
                <w:t>, (pp. 13-66).</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lastRenderedPageBreak/>
                <w:t xml:space="preserve">Aa, P. R. (1881). De Groote Bantamsche Opstand in het Midden der Vorige Eeuw, IV. </w:t>
              </w:r>
              <w:r>
                <w:rPr>
                  <w:rFonts w:asciiTheme="majorBidi" w:hAnsiTheme="majorBidi" w:cstheme="majorBidi"/>
                  <w:i/>
                  <w:iCs/>
                  <w:sz w:val="24"/>
                  <w:szCs w:val="24"/>
                </w:rPr>
                <w:t>Bijdragen to de Taal-, Land-en Volkenkunde, 29</w:t>
              </w:r>
              <w:r>
                <w:rPr>
                  <w:rFonts w:asciiTheme="majorBidi" w:hAnsiTheme="majorBidi" w:cstheme="majorBidi"/>
                  <w:sz w:val="24"/>
                  <w:szCs w:val="24"/>
                </w:rPr>
                <w:t>(1), 107.</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 xml:space="preserve">Alves, J. D. (2007). La fonte de canons à Java, vers 1525. </w:t>
              </w:r>
              <w:r>
                <w:rPr>
                  <w:rFonts w:asciiTheme="majorBidi" w:hAnsiTheme="majorBidi" w:cstheme="majorBidi"/>
                  <w:i/>
                  <w:iCs/>
                  <w:sz w:val="24"/>
                  <w:szCs w:val="24"/>
                </w:rPr>
                <w:t>Archipel, 74</w:t>
              </w:r>
              <w:r>
                <w:rPr>
                  <w:rFonts w:asciiTheme="majorBidi" w:hAnsiTheme="majorBidi" w:cstheme="majorBidi"/>
                  <w:sz w:val="24"/>
                  <w:szCs w:val="24"/>
                </w:rPr>
                <w:t>(1), 13-14.</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 xml:space="preserve">Asari, A. Q. (2022). Islamic Education and Capitalism: Modern Islamic Education Management in Banten. </w:t>
              </w:r>
              <w:r>
                <w:rPr>
                  <w:rFonts w:asciiTheme="majorBidi" w:hAnsiTheme="majorBidi" w:cstheme="majorBidi"/>
                  <w:i/>
                  <w:iCs/>
                  <w:sz w:val="24"/>
                  <w:szCs w:val="24"/>
                </w:rPr>
                <w:t>EduLine: Journal of Education and Learning Innovation, 2</w:t>
              </w:r>
              <w:r>
                <w:rPr>
                  <w:rFonts w:asciiTheme="majorBidi" w:hAnsiTheme="majorBidi" w:cstheme="majorBidi"/>
                  <w:sz w:val="24"/>
                  <w:szCs w:val="24"/>
                </w:rPr>
                <w:t>(2), 123-130.</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 xml:space="preserve">Bahauddin, T. E. (2015). The influence of social-culture of Banten towards the changes of Banten Great Mosque complex. </w:t>
              </w:r>
              <w:r>
                <w:rPr>
                  <w:rFonts w:asciiTheme="majorBidi" w:hAnsiTheme="majorBidi" w:cstheme="majorBidi"/>
                  <w:i/>
                  <w:iCs/>
                  <w:sz w:val="24"/>
                  <w:szCs w:val="24"/>
                </w:rPr>
                <w:t>Advances in Environmental Biology, 9</w:t>
              </w:r>
              <w:r>
                <w:rPr>
                  <w:rFonts w:asciiTheme="majorBidi" w:hAnsiTheme="majorBidi" w:cstheme="majorBidi"/>
                  <w:sz w:val="24"/>
                  <w:szCs w:val="24"/>
                </w:rPr>
                <w:t>(4), 226-229.</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 xml:space="preserve">Barros, J. d. (1552). </w:t>
              </w:r>
              <w:r>
                <w:rPr>
                  <w:rFonts w:asciiTheme="majorBidi" w:hAnsiTheme="majorBidi" w:cstheme="majorBidi"/>
                  <w:i/>
                  <w:iCs/>
                  <w:sz w:val="24"/>
                  <w:szCs w:val="24"/>
                </w:rPr>
                <w:t>Década Primeira da Ásia: Dos feitos que os Portuguezes fizeram no descobrimento &amp; conquista dos mares &amp; terras do Oriente.</w:t>
              </w:r>
              <w:r>
                <w:rPr>
                  <w:rFonts w:asciiTheme="majorBidi" w:hAnsiTheme="majorBidi" w:cstheme="majorBidi"/>
                  <w:sz w:val="24"/>
                  <w:szCs w:val="24"/>
                </w:rPr>
                <w:t xml:space="preserve"> Germao Galharde.</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 xml:space="preserve">Bassett, D. K. (2001). Settlement in Asia, 1602-1690. </w:t>
              </w:r>
              <w:r>
                <w:rPr>
                  <w:rFonts w:asciiTheme="majorBidi" w:hAnsiTheme="majorBidi" w:cstheme="majorBidi"/>
                  <w:i/>
                  <w:iCs/>
                  <w:sz w:val="24"/>
                  <w:szCs w:val="24"/>
                </w:rPr>
                <w:t>South East Asia, Colonial History: Imperialism before 1800</w:t>
              </w:r>
              <w:r>
                <w:rPr>
                  <w:rFonts w:asciiTheme="majorBidi" w:hAnsiTheme="majorBidi" w:cstheme="majorBidi"/>
                  <w:sz w:val="24"/>
                  <w:szCs w:val="24"/>
                </w:rPr>
                <w:t>, 335.</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 xml:space="preserve">Bertrand, R. (2015). Spirited Transactions. The Morals and Materialities of Trade Contacts between the Dutch, the British and the Malays (1596–1619). In </w:t>
              </w:r>
              <w:r>
                <w:rPr>
                  <w:rFonts w:asciiTheme="majorBidi" w:hAnsiTheme="majorBidi" w:cstheme="majorBidi"/>
                  <w:i/>
                  <w:iCs/>
                  <w:sz w:val="24"/>
                  <w:szCs w:val="24"/>
                </w:rPr>
                <w:t xml:space="preserve">In Goods from the East, 1600–1800: Trading Eurasia </w:t>
              </w:r>
              <w:r>
                <w:rPr>
                  <w:rFonts w:asciiTheme="majorBidi" w:hAnsiTheme="majorBidi" w:cstheme="majorBidi"/>
                  <w:sz w:val="24"/>
                  <w:szCs w:val="24"/>
                </w:rPr>
                <w:t>(pp. 45-60). London: Palgrave Macmillan UK.</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 xml:space="preserve">Boohaart, E. v. (2022). </w:t>
              </w:r>
              <w:r>
                <w:rPr>
                  <w:rFonts w:asciiTheme="majorBidi" w:hAnsiTheme="majorBidi" w:cstheme="majorBidi"/>
                  <w:i/>
                  <w:iCs/>
                  <w:sz w:val="24"/>
                  <w:szCs w:val="24"/>
                </w:rPr>
                <w:t>De wimper van de wereld: vroege ontdekkingen van het Verre Oosten.</w:t>
              </w:r>
              <w:r>
                <w:rPr>
                  <w:rFonts w:asciiTheme="majorBidi" w:hAnsiTheme="majorBidi" w:cstheme="majorBidi"/>
                  <w:sz w:val="24"/>
                  <w:szCs w:val="24"/>
                </w:rPr>
                <w:t xml:space="preserve"> Amsterdam University Press.</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 xml:space="preserve">C. Guillot, L. N. (1990). Les sucriers chinois de Kelapadua, Banten, XVIIe siècle. Textes et vestiges. </w:t>
              </w:r>
              <w:r>
                <w:rPr>
                  <w:rFonts w:asciiTheme="majorBidi" w:hAnsiTheme="majorBidi" w:cstheme="majorBidi"/>
                  <w:i/>
                  <w:iCs/>
                  <w:sz w:val="24"/>
                  <w:szCs w:val="24"/>
                </w:rPr>
                <w:t>Archipel, 39</w:t>
              </w:r>
              <w:r>
                <w:rPr>
                  <w:rFonts w:asciiTheme="majorBidi" w:hAnsiTheme="majorBidi" w:cstheme="majorBidi"/>
                  <w:sz w:val="24"/>
                  <w:szCs w:val="24"/>
                </w:rPr>
                <w:t>(1), 139-158.</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 xml:space="preserve">Colombijn, F. (1989). Foreign influence on the state of Banten, 1596–1682. </w:t>
              </w:r>
              <w:r>
                <w:rPr>
                  <w:rFonts w:asciiTheme="majorBidi" w:hAnsiTheme="majorBidi" w:cstheme="majorBidi"/>
                  <w:i/>
                  <w:iCs/>
                  <w:sz w:val="24"/>
                  <w:szCs w:val="24"/>
                </w:rPr>
                <w:t>Indonesia Circle, 18</w:t>
              </w:r>
              <w:r>
                <w:rPr>
                  <w:rFonts w:asciiTheme="majorBidi" w:hAnsiTheme="majorBidi" w:cstheme="majorBidi"/>
                  <w:sz w:val="24"/>
                  <w:szCs w:val="24"/>
                </w:rPr>
                <w:t>(50), 19-30.</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 xml:space="preserve">Conrad, L. I. (2022). Abraha and Muḥammad: some observations apropos of chronology and literary topoi in the early Arabic historical tradition. In </w:t>
              </w:r>
              <w:r>
                <w:rPr>
                  <w:rFonts w:asciiTheme="majorBidi" w:hAnsiTheme="majorBidi" w:cstheme="majorBidi"/>
                  <w:i/>
                  <w:iCs/>
                  <w:sz w:val="24"/>
                  <w:szCs w:val="24"/>
                </w:rPr>
                <w:t>The Life of Muhammad</w:t>
              </w:r>
              <w:r>
                <w:rPr>
                  <w:rFonts w:asciiTheme="majorBidi" w:hAnsiTheme="majorBidi" w:cstheme="majorBidi"/>
                  <w:sz w:val="24"/>
                  <w:szCs w:val="24"/>
                </w:rPr>
                <w:t xml:space="preserve"> (pp. 41-56). Routladge.</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 xml:space="preserve">Fadillah. (2020). Bandar Sukabumi In the Beginning of The 19th Century: The Role ff Political Authority in The Development of River-City In Kotawaringin Region, Southwestern Kalimantan. </w:t>
              </w:r>
              <w:r>
                <w:rPr>
                  <w:rFonts w:asciiTheme="majorBidi" w:hAnsiTheme="majorBidi" w:cstheme="majorBidi"/>
                  <w:i/>
                  <w:iCs/>
                  <w:sz w:val="24"/>
                  <w:szCs w:val="24"/>
                </w:rPr>
                <w:t>Naditira Widya, 14</w:t>
              </w:r>
              <w:r>
                <w:rPr>
                  <w:rFonts w:asciiTheme="majorBidi" w:hAnsiTheme="majorBidi" w:cstheme="majorBidi"/>
                  <w:sz w:val="24"/>
                  <w:szCs w:val="24"/>
                </w:rPr>
                <w:t>(2), 121-136.</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 xml:space="preserve">Fadillah, M. (2021). Investigation of The Early Traces of Pepper Trading in Banten Area, West Java. </w:t>
              </w:r>
              <w:r>
                <w:rPr>
                  <w:rFonts w:asciiTheme="majorBidi" w:hAnsiTheme="majorBidi" w:cstheme="majorBidi"/>
                  <w:i/>
                  <w:iCs/>
                  <w:sz w:val="24"/>
                  <w:szCs w:val="24"/>
                </w:rPr>
                <w:t>Walennae: Jurnal Arkeologi Sulawesi Selatan dan Tenggara, 19</w:t>
              </w:r>
              <w:r>
                <w:rPr>
                  <w:rFonts w:asciiTheme="majorBidi" w:hAnsiTheme="majorBidi" w:cstheme="majorBidi"/>
                  <w:sz w:val="24"/>
                  <w:szCs w:val="24"/>
                </w:rPr>
                <w:t>(2), 77-100.</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 xml:space="preserve">Faille, P. D. (1925). Javaansch grondenrecht in het licht van Lomboksche toestanden. </w:t>
              </w:r>
              <w:r>
                <w:rPr>
                  <w:rFonts w:asciiTheme="majorBidi" w:hAnsiTheme="majorBidi" w:cstheme="majorBidi"/>
                  <w:i/>
                  <w:iCs/>
                  <w:sz w:val="24"/>
                  <w:szCs w:val="24"/>
                </w:rPr>
                <w:t>Bijdragen tot de Taal-, Land-en Volkenkunde van Nederlandsch-Indië, 3</w:t>
              </w:r>
              <w:r>
                <w:rPr>
                  <w:rFonts w:asciiTheme="majorBidi" w:hAnsiTheme="majorBidi" w:cstheme="majorBidi"/>
                  <w:sz w:val="24"/>
                  <w:szCs w:val="24"/>
                </w:rPr>
                <w:t>(4), 552-612.</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 xml:space="preserve">Faizin, S. J. (2023). Spices and Diplomacy of the Banten Sultanate with Foreign Kingdoms in the 16th-19th Centur. </w:t>
              </w:r>
              <w:r>
                <w:rPr>
                  <w:rFonts w:asciiTheme="majorBidi" w:hAnsiTheme="majorBidi" w:cstheme="majorBidi"/>
                  <w:i/>
                  <w:iCs/>
                  <w:sz w:val="24"/>
                  <w:szCs w:val="24"/>
                </w:rPr>
                <w:t>Journal of Islamic History and Manuscript, 2</w:t>
              </w:r>
              <w:r>
                <w:rPr>
                  <w:rFonts w:asciiTheme="majorBidi" w:hAnsiTheme="majorBidi" w:cstheme="majorBidi"/>
                  <w:sz w:val="24"/>
                  <w:szCs w:val="24"/>
                </w:rPr>
                <w:t>(2), 161-180.</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 xml:space="preserve">Faizin, S. J. (2023). Spices and Diplomacy of the Banten Sultanate with Foreign Kingdoms in the 16th-19th Century. </w:t>
              </w:r>
              <w:r>
                <w:rPr>
                  <w:rFonts w:asciiTheme="majorBidi" w:hAnsiTheme="majorBidi" w:cstheme="majorBidi"/>
                  <w:i/>
                  <w:iCs/>
                  <w:sz w:val="24"/>
                  <w:szCs w:val="24"/>
                </w:rPr>
                <w:t>Journal of Islamic History and Manuscript, 2</w:t>
              </w:r>
              <w:r>
                <w:rPr>
                  <w:rFonts w:asciiTheme="majorBidi" w:hAnsiTheme="majorBidi" w:cstheme="majorBidi"/>
                  <w:sz w:val="24"/>
                  <w:szCs w:val="24"/>
                </w:rPr>
                <w:t>(2), 161-180.</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 xml:space="preserve">Faizin, S. J. (2023). Spices and Diplomacy of the Banten Sultanate with Foreign Kingdoms in the 16th-19th Century. </w:t>
              </w:r>
              <w:r>
                <w:rPr>
                  <w:rFonts w:asciiTheme="majorBidi" w:hAnsiTheme="majorBidi" w:cstheme="majorBidi"/>
                  <w:i/>
                  <w:iCs/>
                  <w:sz w:val="24"/>
                  <w:szCs w:val="24"/>
                </w:rPr>
                <w:t>Journal of Islamic History and Manuscript, 2</w:t>
              </w:r>
              <w:r>
                <w:rPr>
                  <w:rFonts w:asciiTheme="majorBidi" w:hAnsiTheme="majorBidi" w:cstheme="majorBidi"/>
                  <w:sz w:val="24"/>
                  <w:szCs w:val="24"/>
                </w:rPr>
                <w:t>(2), 161-180.</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lastRenderedPageBreak/>
                <w:t xml:space="preserve">Frank, D. (2021). From Prominent 17 th Century Colonial Dutch Settlements to Modern Indonesian Urban Centers? The Different Destinies of Banten, Ambon, Jakarta, and Malacca and their Cultural Heritage. </w:t>
              </w:r>
              <w:r>
                <w:rPr>
                  <w:rFonts w:asciiTheme="majorBidi" w:hAnsiTheme="majorBidi" w:cstheme="majorBidi"/>
                  <w:i/>
                  <w:iCs/>
                  <w:sz w:val="24"/>
                  <w:szCs w:val="24"/>
                </w:rPr>
                <w:t>Journal of East-Asian Urban History, 3</w:t>
              </w:r>
              <w:r>
                <w:rPr>
                  <w:rFonts w:asciiTheme="majorBidi" w:hAnsiTheme="majorBidi" w:cstheme="majorBidi"/>
                  <w:sz w:val="24"/>
                  <w:szCs w:val="24"/>
                </w:rPr>
                <w:t>(1), 121-138.</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 xml:space="preserve">Guillot, C. (1993). Banten in 1678. </w:t>
              </w:r>
              <w:r>
                <w:rPr>
                  <w:rFonts w:asciiTheme="majorBidi" w:hAnsiTheme="majorBidi" w:cstheme="majorBidi"/>
                  <w:i/>
                  <w:iCs/>
                  <w:sz w:val="24"/>
                  <w:szCs w:val="24"/>
                </w:rPr>
                <w:t>Indonesia</w:t>
              </w:r>
              <w:r>
                <w:rPr>
                  <w:rFonts w:asciiTheme="majorBidi" w:hAnsiTheme="majorBidi" w:cstheme="majorBidi"/>
                  <w:sz w:val="24"/>
                  <w:szCs w:val="24"/>
                </w:rPr>
                <w:t>(57), 89-113.</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 xml:space="preserve">Hamid, A. R. (2024). The Dynamics of Lampung Pepper Trade Network in 16th - 18th Century. </w:t>
              </w:r>
              <w:r>
                <w:rPr>
                  <w:rFonts w:asciiTheme="majorBidi" w:hAnsiTheme="majorBidi" w:cstheme="majorBidi"/>
                  <w:i/>
                  <w:iCs/>
                  <w:sz w:val="24"/>
                  <w:szCs w:val="24"/>
                </w:rPr>
                <w:t>Buletin Al-Turas, 30</w:t>
              </w:r>
              <w:r>
                <w:rPr>
                  <w:rFonts w:asciiTheme="majorBidi" w:hAnsiTheme="majorBidi" w:cstheme="majorBidi"/>
                  <w:sz w:val="24"/>
                  <w:szCs w:val="24"/>
                </w:rPr>
                <w:t>(2), 145-160.</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 xml:space="preserve">Heijer, H. D. (2023). Willem Cunningham: een Schotse-Nederlander in Oost en West. </w:t>
              </w:r>
              <w:r>
                <w:rPr>
                  <w:rFonts w:asciiTheme="majorBidi" w:hAnsiTheme="majorBidi" w:cstheme="majorBidi"/>
                  <w:i/>
                  <w:iCs/>
                  <w:sz w:val="24"/>
                  <w:szCs w:val="24"/>
                </w:rPr>
                <w:t>Leidschrift, 38 (Juni)</w:t>
              </w:r>
              <w:r>
                <w:rPr>
                  <w:rFonts w:asciiTheme="majorBidi" w:hAnsiTheme="majorBidi" w:cstheme="majorBidi"/>
                  <w:sz w:val="24"/>
                  <w:szCs w:val="24"/>
                </w:rPr>
                <w:t xml:space="preserve"> (pp. 15-29). Door weer en wind. Zeereis verhalen en Maritieme Geschiedenis.</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Hoekema, A. G. (2024). Chapter Nederlandse doopsgezinden in Indonesië in de periode van de VOC–Een schets. Amsterdam University Press.</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 xml:space="preserve">K. Ueda, S. C. (2016). Paths to power in the early stage of colonialism: An archaeological study of the sultanate of Banten, Java, Indonesia, the seventeenth to early nineteenth century. </w:t>
              </w:r>
              <w:r>
                <w:rPr>
                  <w:rFonts w:asciiTheme="majorBidi" w:hAnsiTheme="majorBidi" w:cstheme="majorBidi"/>
                  <w:i/>
                  <w:iCs/>
                  <w:sz w:val="24"/>
                  <w:szCs w:val="24"/>
                </w:rPr>
                <w:t>Asian Perspectives</w:t>
              </w:r>
              <w:r>
                <w:rPr>
                  <w:rFonts w:asciiTheme="majorBidi" w:hAnsiTheme="majorBidi" w:cstheme="majorBidi"/>
                  <w:sz w:val="24"/>
                  <w:szCs w:val="24"/>
                </w:rPr>
                <w:t>, 89-119.</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 xml:space="preserve">Kanumoyoso, B. (2018). Malay maritime world in Southeast Asia. Journal of Maritime Studies and National Integration. </w:t>
              </w:r>
              <w:r>
                <w:rPr>
                  <w:rFonts w:asciiTheme="majorBidi" w:hAnsiTheme="majorBidi" w:cstheme="majorBidi"/>
                  <w:i/>
                  <w:iCs/>
                  <w:sz w:val="24"/>
                  <w:szCs w:val="24"/>
                </w:rPr>
                <w:t>Journal of Maritime Studies and National Integration, 2</w:t>
              </w:r>
              <w:r>
                <w:rPr>
                  <w:rFonts w:asciiTheme="majorBidi" w:hAnsiTheme="majorBidi" w:cstheme="majorBidi"/>
                  <w:sz w:val="24"/>
                  <w:szCs w:val="24"/>
                </w:rPr>
                <w:t>(1), 16-22.</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 xml:space="preserve">Kathirithamby-Wells, J. (1986). The Islamic City: Melaka to Jogjakarta, c. 1500–1800. </w:t>
              </w:r>
              <w:r>
                <w:rPr>
                  <w:rFonts w:asciiTheme="majorBidi" w:hAnsiTheme="majorBidi" w:cstheme="majorBidi"/>
                  <w:i/>
                  <w:iCs/>
                  <w:sz w:val="24"/>
                  <w:szCs w:val="24"/>
                </w:rPr>
                <w:t>Modern Asian Studies</w:t>
              </w:r>
              <w:r>
                <w:rPr>
                  <w:rFonts w:asciiTheme="majorBidi" w:hAnsiTheme="majorBidi" w:cstheme="majorBidi"/>
                  <w:sz w:val="24"/>
                  <w:szCs w:val="24"/>
                </w:rPr>
                <w:t>, 333-351.</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 xml:space="preserve">Kemper, S. C. (2019). The Umbilical Cord of Threats: the Securitization of Infidel Attacks on the Early Modern Banten Sultanate, Indonesia . </w:t>
              </w:r>
              <w:r>
                <w:rPr>
                  <w:rFonts w:asciiTheme="majorBidi" w:hAnsiTheme="majorBidi" w:cstheme="majorBidi"/>
                  <w:i/>
                  <w:iCs/>
                  <w:sz w:val="24"/>
                  <w:szCs w:val="24"/>
                </w:rPr>
                <w:t>The Representation of External Threats. From the Middle Ages to the Modern World, Leiden &amp; Boston, Brill</w:t>
              </w:r>
              <w:r>
                <w:rPr>
                  <w:rFonts w:asciiTheme="majorBidi" w:hAnsiTheme="majorBidi" w:cstheme="majorBidi"/>
                  <w:sz w:val="24"/>
                  <w:szCs w:val="24"/>
                </w:rPr>
                <w:t>, 106-127.</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Kurniawan, R. A. (2022). Between sacred nagara and resilience planning: the transformation of Banten port city in the 16th to 17th century.</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 xml:space="preserve">Lombard, C. S. (1975). A propos de quelques stèles chinoises récemment retrouvées à Banten (Java ouest). </w:t>
              </w:r>
              <w:r>
                <w:rPr>
                  <w:rFonts w:asciiTheme="majorBidi" w:hAnsiTheme="majorBidi" w:cstheme="majorBidi"/>
                  <w:i/>
                  <w:iCs/>
                  <w:sz w:val="24"/>
                  <w:szCs w:val="24"/>
                </w:rPr>
                <w:t>Archipel, 9</w:t>
              </w:r>
              <w:r>
                <w:rPr>
                  <w:rFonts w:asciiTheme="majorBidi" w:hAnsiTheme="majorBidi" w:cstheme="majorBidi"/>
                  <w:sz w:val="24"/>
                  <w:szCs w:val="24"/>
                </w:rPr>
                <w:t>(1), 99-127.</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M. H. bin Moh Yusof, Z. b. (2022). Ancient Malay Laws Regarding Business Rules and Ethics Enacted in the Malaysian Peninsula.</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 xml:space="preserve">Madjid, M. D. (2014). </w:t>
              </w:r>
              <w:r>
                <w:rPr>
                  <w:rFonts w:asciiTheme="majorBidi" w:hAnsiTheme="majorBidi" w:cstheme="majorBidi"/>
                  <w:i/>
                  <w:iCs/>
                  <w:sz w:val="24"/>
                  <w:szCs w:val="24"/>
                </w:rPr>
                <w:t>Ilmu Sejarah: Sebuah Pengantar.</w:t>
              </w:r>
              <w:r>
                <w:rPr>
                  <w:rFonts w:asciiTheme="majorBidi" w:hAnsiTheme="majorBidi" w:cstheme="majorBidi"/>
                  <w:sz w:val="24"/>
                  <w:szCs w:val="24"/>
                </w:rPr>
                <w:t xml:space="preserve"> Jakarta: Kencana.</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 xml:space="preserve">Michrob, H. (1987). </w:t>
              </w:r>
              <w:r>
                <w:rPr>
                  <w:rFonts w:asciiTheme="majorBidi" w:hAnsiTheme="majorBidi" w:cstheme="majorBidi"/>
                  <w:i/>
                  <w:iCs/>
                  <w:sz w:val="24"/>
                  <w:szCs w:val="24"/>
                </w:rPr>
                <w:t>A Hypothetical Reconstruction of the Islamic City of Banten, Indonesia.</w:t>
              </w:r>
              <w:r>
                <w:rPr>
                  <w:rFonts w:asciiTheme="majorBidi" w:hAnsiTheme="majorBidi" w:cstheme="majorBidi"/>
                  <w:sz w:val="24"/>
                  <w:szCs w:val="24"/>
                </w:rPr>
                <w:t xml:space="preserve"> A Hypothetical Reconstruction of the Islamic City of Banten, Indonesia Doctoral dissertation, Graduate School of Arts and Sciences, University of Pennsylvania.</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 xml:space="preserve">Nuralia, I. I. (2022). Rituals of Paddy Sustainability in Karawang Regency . </w:t>
              </w:r>
              <w:r>
                <w:rPr>
                  <w:rFonts w:asciiTheme="majorBidi" w:hAnsiTheme="majorBidi" w:cstheme="majorBidi"/>
                  <w:i/>
                  <w:iCs/>
                  <w:sz w:val="24"/>
                  <w:szCs w:val="24"/>
                </w:rPr>
                <w:t xml:space="preserve">Proceedings of the Sixth International Conference on Language, Literature, Culture, and Education (ICOLLITE 2022) </w:t>
              </w:r>
              <w:r>
                <w:rPr>
                  <w:rFonts w:asciiTheme="majorBidi" w:hAnsiTheme="majorBidi" w:cstheme="majorBidi"/>
                  <w:sz w:val="24"/>
                  <w:szCs w:val="24"/>
                </w:rPr>
                <w:t>, (pp. 249-255).</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lastRenderedPageBreak/>
                <w:t xml:space="preserve">Nurcholis, N. A. (2016). States and local legal cultures in Medieval Islam: A comparative study of Akbar’s Mughal rule and Sultan Agung’s Mataram in 16th and 17th century. </w:t>
              </w:r>
              <w:r>
                <w:rPr>
                  <w:rFonts w:asciiTheme="majorBidi" w:hAnsiTheme="majorBidi" w:cstheme="majorBidi"/>
                  <w:i/>
                  <w:iCs/>
                  <w:sz w:val="24"/>
                  <w:szCs w:val="24"/>
                </w:rPr>
                <w:t>Al-Jami'ah: Journal of Islamic Studies, 54</w:t>
              </w:r>
              <w:r>
                <w:rPr>
                  <w:rFonts w:asciiTheme="majorBidi" w:hAnsiTheme="majorBidi" w:cstheme="majorBidi"/>
                  <w:sz w:val="24"/>
                  <w:szCs w:val="24"/>
                </w:rPr>
                <w:t>(1), 33-57.</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 xml:space="preserve">Prabaswara, M. R. (2022). Divide et Impera in the Banten Sultanate: The Political Succession of Sultan Haji and VOC's Pepper Monopoly in the 17th and 18th Centuries. </w:t>
              </w:r>
              <w:r>
                <w:rPr>
                  <w:rFonts w:asciiTheme="majorBidi" w:hAnsiTheme="majorBidi" w:cstheme="majorBidi"/>
                  <w:i/>
                  <w:iCs/>
                  <w:sz w:val="24"/>
                  <w:szCs w:val="24"/>
                </w:rPr>
                <w:t>Suanan Kalijaga: International Journal of Islamic Civilization, 6</w:t>
              </w:r>
              <w:r>
                <w:rPr>
                  <w:rFonts w:asciiTheme="majorBidi" w:hAnsiTheme="majorBidi" w:cstheme="majorBidi"/>
                  <w:sz w:val="24"/>
                  <w:szCs w:val="24"/>
                </w:rPr>
                <w:t>(1), 130-152.</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 xml:space="preserve">R. A. Kusmawardhani, K. R. (2021). The early morphology of Banten cosmopolitan port city in the 16th century . </w:t>
              </w:r>
              <w:r>
                <w:rPr>
                  <w:rFonts w:asciiTheme="majorBidi" w:hAnsiTheme="majorBidi" w:cstheme="majorBidi"/>
                  <w:i/>
                  <w:iCs/>
                  <w:sz w:val="24"/>
                  <w:szCs w:val="24"/>
                </w:rPr>
                <w:t>In International Conference on Architecture, Materials and Construction</w:t>
              </w:r>
              <w:r>
                <w:rPr>
                  <w:rFonts w:asciiTheme="majorBidi" w:hAnsiTheme="majorBidi" w:cstheme="majorBidi"/>
                  <w:sz w:val="24"/>
                  <w:szCs w:val="24"/>
                </w:rPr>
                <w:t xml:space="preserve"> (pp. 472-478). Cham: Springer International Publishing.</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 xml:space="preserve">R. M. Bhat, P. J. (2023). Redressing Historical Bias: Exploring the Path to an Accurate Representation of the Past. </w:t>
              </w:r>
              <w:r>
                <w:rPr>
                  <w:rFonts w:asciiTheme="majorBidi" w:hAnsiTheme="majorBidi" w:cstheme="majorBidi"/>
                  <w:i/>
                  <w:iCs/>
                  <w:sz w:val="24"/>
                  <w:szCs w:val="24"/>
                </w:rPr>
                <w:t>Journal of Social Science, 4</w:t>
              </w:r>
              <w:r>
                <w:rPr>
                  <w:rFonts w:asciiTheme="majorBidi" w:hAnsiTheme="majorBidi" w:cstheme="majorBidi"/>
                  <w:sz w:val="24"/>
                  <w:szCs w:val="24"/>
                </w:rPr>
                <w:t>(3), 698-705.</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 xml:space="preserve">R. Rismawidiawati, W. H. (2023). Gawe Kuta baluwarti bata kalawan kawis: Contribution of Local Knowladge to the expansion of the Banten Sultanate on the Nusantara Spice Route. </w:t>
              </w:r>
              <w:r>
                <w:rPr>
                  <w:rFonts w:asciiTheme="majorBidi" w:hAnsiTheme="majorBidi" w:cstheme="majorBidi"/>
                  <w:i/>
                  <w:iCs/>
                  <w:sz w:val="24"/>
                  <w:szCs w:val="24"/>
                </w:rPr>
                <w:t>Wacana: Journal of the Humanities of Indonesia, 24</w:t>
              </w:r>
              <w:r>
                <w:rPr>
                  <w:rFonts w:asciiTheme="majorBidi" w:hAnsiTheme="majorBidi" w:cstheme="majorBidi"/>
                  <w:sz w:val="24"/>
                  <w:szCs w:val="24"/>
                </w:rPr>
                <w:t>(3).</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 xml:space="preserve">Rahmah, A. U. (2023). The 19th Century of Islamic Education in Java (Historical Perspective of Pesantren Education Concept). </w:t>
              </w:r>
              <w:r>
                <w:rPr>
                  <w:rFonts w:asciiTheme="majorBidi" w:hAnsiTheme="majorBidi" w:cstheme="majorBidi"/>
                  <w:i/>
                  <w:iCs/>
                  <w:sz w:val="24"/>
                  <w:szCs w:val="24"/>
                </w:rPr>
                <w:t>An-Nuha: Jurnal Kajian Islam, Pendidikan, Budaya dan Sosial, 10</w:t>
              </w:r>
              <w:r>
                <w:rPr>
                  <w:rFonts w:asciiTheme="majorBidi" w:hAnsiTheme="majorBidi" w:cstheme="majorBidi"/>
                  <w:sz w:val="24"/>
                  <w:szCs w:val="24"/>
                </w:rPr>
                <w:t>(2), 171-196.</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 xml:space="preserve">Ravensbergen, M. K. (2021). </w:t>
              </w:r>
              <w:r>
                <w:rPr>
                  <w:rFonts w:asciiTheme="majorBidi" w:hAnsiTheme="majorBidi" w:cstheme="majorBidi"/>
                  <w:i/>
                  <w:iCs/>
                  <w:sz w:val="24"/>
                  <w:szCs w:val="24"/>
                </w:rPr>
                <w:t>Islamic Law in the Indian Ocean World: Texts, Ideas and Practices.</w:t>
              </w:r>
              <w:r>
                <w:rPr>
                  <w:rFonts w:asciiTheme="majorBidi" w:hAnsiTheme="majorBidi" w:cstheme="majorBidi"/>
                  <w:sz w:val="24"/>
                  <w:szCs w:val="24"/>
                </w:rPr>
                <w:t xml:space="preserve"> Routledge.</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 xml:space="preserve">Reid, A. (1990). An ‘age of commerce’in Southeast Asian history. </w:t>
              </w:r>
              <w:r>
                <w:rPr>
                  <w:rFonts w:asciiTheme="majorBidi" w:hAnsiTheme="majorBidi" w:cstheme="majorBidi"/>
                  <w:i/>
                  <w:iCs/>
                  <w:sz w:val="24"/>
                  <w:szCs w:val="24"/>
                </w:rPr>
                <w:t>Modern Asian Studies, 24</w:t>
              </w:r>
              <w:r>
                <w:rPr>
                  <w:rFonts w:asciiTheme="majorBidi" w:hAnsiTheme="majorBidi" w:cstheme="majorBidi"/>
                  <w:sz w:val="24"/>
                  <w:szCs w:val="24"/>
                </w:rPr>
                <w:t>(1), 1-30.</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 xml:space="preserve">S. Seff, D. O. (2022). </w:t>
              </w:r>
              <w:r>
                <w:rPr>
                  <w:rFonts w:asciiTheme="majorBidi" w:hAnsiTheme="majorBidi" w:cstheme="majorBidi"/>
                  <w:i/>
                  <w:iCs/>
                  <w:sz w:val="24"/>
                  <w:szCs w:val="24"/>
                </w:rPr>
                <w:t>Exploring the diversity of local traditions of indonesian society in the islamic law perpectiv.</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 xml:space="preserve">S. Wibowo, K. D. (2023). Islamic nomocracy: from the perspectives of Indonesia, Spain and Russia. </w:t>
              </w:r>
              <w:r>
                <w:rPr>
                  <w:rFonts w:asciiTheme="majorBidi" w:hAnsiTheme="majorBidi" w:cstheme="majorBidi"/>
                  <w:i/>
                  <w:iCs/>
                  <w:sz w:val="24"/>
                  <w:szCs w:val="24"/>
                </w:rPr>
                <w:t>Legality: Jurnal Ilmiah Hukum, 31</w:t>
              </w:r>
              <w:r>
                <w:rPr>
                  <w:rFonts w:asciiTheme="majorBidi" w:hAnsiTheme="majorBidi" w:cstheme="majorBidi"/>
                  <w:sz w:val="24"/>
                  <w:szCs w:val="24"/>
                </w:rPr>
                <w:t>(1), 91-111.</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 xml:space="preserve">Siregar, A. R. (2024). Economic Policy of Sultan Ageng Tirtayasa in The Improvement of Trade Economy in The Culture of Banten 1651-1682 AD. </w:t>
              </w:r>
              <w:r>
                <w:rPr>
                  <w:rFonts w:asciiTheme="majorBidi" w:hAnsiTheme="majorBidi" w:cstheme="majorBidi"/>
                  <w:i/>
                  <w:iCs/>
                  <w:sz w:val="24"/>
                  <w:szCs w:val="24"/>
                </w:rPr>
                <w:t>Al-Tsaqafa: Jurnal Ilmiah Peradaban Islam, 21</w:t>
              </w:r>
              <w:r>
                <w:rPr>
                  <w:rFonts w:asciiTheme="majorBidi" w:hAnsiTheme="majorBidi" w:cstheme="majorBidi"/>
                  <w:sz w:val="24"/>
                  <w:szCs w:val="24"/>
                </w:rPr>
                <w:t>(2), 117-127.</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 xml:space="preserve">Talens, J. O. (2004). Het Sultanaat Banten en de VOC, circa 1680-1720. </w:t>
              </w:r>
              <w:r>
                <w:rPr>
                  <w:rFonts w:asciiTheme="majorBidi" w:hAnsiTheme="majorBidi" w:cstheme="majorBidi"/>
                  <w:i/>
                  <w:iCs/>
                  <w:sz w:val="24"/>
                  <w:szCs w:val="24"/>
                </w:rPr>
                <w:t>Hof en handel</w:t>
              </w:r>
              <w:r>
                <w:rPr>
                  <w:rFonts w:asciiTheme="majorBidi" w:hAnsiTheme="majorBidi" w:cstheme="majorBidi"/>
                  <w:sz w:val="24"/>
                  <w:szCs w:val="24"/>
                </w:rPr>
                <w:t>, 114-136.</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 xml:space="preserve">Vergeer. (2024). Tweedracht in de tropen. Oriëntalistische opvattingen over emoties in het treurspel Agon, sulthan van Bantam (1769). </w:t>
              </w:r>
              <w:r>
                <w:rPr>
                  <w:rFonts w:asciiTheme="majorBidi" w:hAnsiTheme="majorBidi" w:cstheme="majorBidi"/>
                  <w:i/>
                  <w:iCs/>
                  <w:sz w:val="24"/>
                  <w:szCs w:val="24"/>
                </w:rPr>
                <w:t>Nederlandse Letterkunde, 29</w:t>
              </w:r>
              <w:r>
                <w:rPr>
                  <w:rFonts w:asciiTheme="majorBidi" w:hAnsiTheme="majorBidi" w:cstheme="majorBidi"/>
                  <w:sz w:val="24"/>
                  <w:szCs w:val="24"/>
                </w:rPr>
                <w:t>(2), 115-143.</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 xml:space="preserve">W. S. Hidayatullah, H. W. (2024). Religious values based on local wisdom Munjungan tradition in Tukdana Village, Tukdana District, Indramayu Regency. </w:t>
              </w:r>
              <w:r>
                <w:rPr>
                  <w:rFonts w:asciiTheme="majorBidi" w:hAnsiTheme="majorBidi" w:cstheme="majorBidi"/>
                  <w:i/>
                  <w:iCs/>
                  <w:sz w:val="24"/>
                  <w:szCs w:val="24"/>
                </w:rPr>
                <w:t>Indonesian Journal of Islamic Education, 2</w:t>
              </w:r>
              <w:r>
                <w:rPr>
                  <w:rFonts w:asciiTheme="majorBidi" w:hAnsiTheme="majorBidi" w:cstheme="majorBidi"/>
                  <w:sz w:val="24"/>
                  <w:szCs w:val="24"/>
                </w:rPr>
                <w:t>(3), 26-35.</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 xml:space="preserve">W. Wasehudin, R. A. (2024). Instilling Religious Character Values in Nadran Tradition for Fisherman Communities in Banten, Indonesia. </w:t>
              </w:r>
              <w:r>
                <w:rPr>
                  <w:rFonts w:asciiTheme="majorBidi" w:hAnsiTheme="majorBidi" w:cstheme="majorBidi"/>
                  <w:i/>
                  <w:iCs/>
                  <w:sz w:val="24"/>
                  <w:szCs w:val="24"/>
                </w:rPr>
                <w:t>Al-Tadzkiyyah: Jurnal Pendidikan Islam, 15</w:t>
              </w:r>
              <w:r>
                <w:rPr>
                  <w:rFonts w:asciiTheme="majorBidi" w:hAnsiTheme="majorBidi" w:cstheme="majorBidi"/>
                  <w:sz w:val="24"/>
                  <w:szCs w:val="24"/>
                </w:rPr>
                <w:t>(1), 115-137.</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lastRenderedPageBreak/>
                <w:t xml:space="preserve">W.I. Maulana, C. A. (2024). Maritime Activities of the Demak Sultanate: Shipping and Trade Route in the Nusantara Network (1478-1546). </w:t>
              </w:r>
              <w:r>
                <w:rPr>
                  <w:rFonts w:asciiTheme="majorBidi" w:hAnsiTheme="majorBidi" w:cstheme="majorBidi"/>
                  <w:i/>
                  <w:iCs/>
                  <w:sz w:val="24"/>
                  <w:szCs w:val="24"/>
                </w:rPr>
                <w:t>Journal of Al-Tamaddun, 19</w:t>
              </w:r>
              <w:r>
                <w:rPr>
                  <w:rFonts w:asciiTheme="majorBidi" w:hAnsiTheme="majorBidi" w:cstheme="majorBidi"/>
                  <w:sz w:val="24"/>
                  <w:szCs w:val="24"/>
                </w:rPr>
                <w:t>(1), 261-272.</w:t>
              </w:r>
            </w:p>
            <w:p w:rsidR="00BC5B32" w:rsidRDefault="00093074">
              <w:pPr>
                <w:pStyle w:val="Bibliografi1"/>
                <w:ind w:left="720" w:hanging="720"/>
                <w:jc w:val="both"/>
                <w:rPr>
                  <w:rFonts w:asciiTheme="majorBidi" w:hAnsiTheme="majorBidi" w:cstheme="majorBidi"/>
                  <w:sz w:val="24"/>
                  <w:szCs w:val="24"/>
                </w:rPr>
              </w:pPr>
              <w:r>
                <w:rPr>
                  <w:rFonts w:asciiTheme="majorBidi" w:hAnsiTheme="majorBidi" w:cstheme="majorBidi"/>
                  <w:sz w:val="24"/>
                  <w:szCs w:val="24"/>
                </w:rPr>
                <w:t xml:space="preserve">Wessing, R. (2014). Pangeran Dakar’s error: A narration of the events leading to the fall of the Sultanate of Bantén. </w:t>
              </w:r>
              <w:r>
                <w:rPr>
                  <w:rFonts w:asciiTheme="majorBidi" w:hAnsiTheme="majorBidi" w:cstheme="majorBidi"/>
                  <w:i/>
                  <w:iCs/>
                  <w:sz w:val="24"/>
                  <w:szCs w:val="24"/>
                </w:rPr>
                <w:t>Journal of Southeast Asian Studies, 45</w:t>
              </w:r>
              <w:r>
                <w:rPr>
                  <w:rFonts w:asciiTheme="majorBidi" w:hAnsiTheme="majorBidi" w:cstheme="majorBidi"/>
                  <w:sz w:val="24"/>
                  <w:szCs w:val="24"/>
                </w:rPr>
                <w:t>(3), 427-443.</w:t>
              </w:r>
            </w:p>
            <w:p w:rsidR="00BC5B32" w:rsidRDefault="00093074">
              <w:pPr>
                <w:jc w:val="both"/>
              </w:pPr>
              <w:r>
                <w:rPr>
                  <w:rFonts w:asciiTheme="majorBidi" w:hAnsiTheme="majorBidi" w:cstheme="majorBidi"/>
                  <w:b/>
                  <w:bCs/>
                </w:rPr>
                <w:fldChar w:fldCharType="end"/>
              </w:r>
            </w:p>
          </w:sdtContent>
        </w:sdt>
      </w:sdtContent>
    </w:sdt>
    <w:p w:rsidR="00BC5B32" w:rsidRDefault="00BC5B32"/>
    <w:p w:rsidR="00BC5B32" w:rsidRDefault="00093074">
      <w:pPr>
        <w:jc w:val="both"/>
        <w:rPr>
          <w:rFonts w:asciiTheme="majorBidi" w:hAnsiTheme="majorBidi" w:cstheme="majorBidi"/>
        </w:rPr>
      </w:pPr>
      <w:r>
        <w:rPr>
          <w:rFonts w:asciiTheme="majorBidi" w:hAnsiTheme="majorBidi" w:cstheme="majorBidi"/>
          <w:b/>
          <w:bCs/>
          <w:lang w:val="fi-FI"/>
        </w:rPr>
        <w:fldChar w:fldCharType="end"/>
      </w:r>
    </w:p>
    <w:p w:rsidR="00BC5B32" w:rsidRDefault="00BC5B32">
      <w:pPr>
        <w:jc w:val="both"/>
        <w:rPr>
          <w:rFonts w:asciiTheme="majorBidi" w:hAnsiTheme="majorBidi" w:cstheme="majorBidi"/>
        </w:rPr>
      </w:pPr>
    </w:p>
    <w:p w:rsidR="00BC5B32" w:rsidRDefault="00BC5B32">
      <w:pPr>
        <w:jc w:val="both"/>
        <w:rPr>
          <w:rFonts w:asciiTheme="majorBidi" w:hAnsiTheme="majorBidi" w:cstheme="majorBidi"/>
        </w:rPr>
      </w:pPr>
    </w:p>
    <w:sectPr w:rsidR="00BC5B32" w:rsidSect="00B419AD">
      <w:pgSz w:w="11900"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7E10" w:rsidRDefault="00407E10">
      <w:pPr>
        <w:spacing w:line="240" w:lineRule="auto"/>
      </w:pPr>
      <w:r>
        <w:separator/>
      </w:r>
    </w:p>
  </w:endnote>
  <w:endnote w:type="continuationSeparator" w:id="0">
    <w:p w:rsidR="00407E10" w:rsidRDefault="00407E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20002A87" w:usb1="80000000" w:usb2="00000008"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7E10" w:rsidRDefault="00407E10">
      <w:pPr>
        <w:spacing w:after="0"/>
      </w:pPr>
      <w:r>
        <w:separator/>
      </w:r>
    </w:p>
  </w:footnote>
  <w:footnote w:type="continuationSeparator" w:id="0">
    <w:p w:rsidR="00407E10" w:rsidRDefault="00407E10">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F69"/>
    <w:rsid w:val="DE7B4C81"/>
    <w:rsid w:val="00093074"/>
    <w:rsid w:val="00105A8E"/>
    <w:rsid w:val="00182463"/>
    <w:rsid w:val="00185373"/>
    <w:rsid w:val="00333475"/>
    <w:rsid w:val="00407E10"/>
    <w:rsid w:val="00566E7E"/>
    <w:rsid w:val="00570C71"/>
    <w:rsid w:val="00754F69"/>
    <w:rsid w:val="00883776"/>
    <w:rsid w:val="0096746C"/>
    <w:rsid w:val="00AF4E62"/>
    <w:rsid w:val="00B419AD"/>
    <w:rsid w:val="00B55B32"/>
    <w:rsid w:val="00BC5B32"/>
    <w:rsid w:val="00BE0A70"/>
    <w:rsid w:val="00BF1614"/>
    <w:rsid w:val="00D968D8"/>
    <w:rsid w:val="00FC69FB"/>
    <w:rsid w:val="00FE4B01"/>
    <w:rsid w:val="76CB82D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194F0"/>
  <w15:docId w15:val="{99DE0654-B0A6-F84E-946C-0CE44AC00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id-ID" w:eastAsia="id-ID"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78" w:lineRule="auto"/>
    </w:pPr>
    <w:rPr>
      <w:kern w:val="2"/>
      <w:sz w:val="24"/>
      <w:szCs w:val="24"/>
      <w:lang w:val="en-US" w:eastAsia="en-US"/>
      <w14:ligatures w14:val="standardContextual"/>
    </w:rPr>
  </w:style>
  <w:style w:type="paragraph" w:styleId="Judul1">
    <w:name w:val="heading 1"/>
    <w:basedOn w:val="Normal"/>
    <w:next w:val="Normal"/>
    <w:link w:val="Judul1K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Judul2">
    <w:name w:val="heading 2"/>
    <w:basedOn w:val="Normal"/>
    <w:next w:val="Normal"/>
    <w:link w:val="Judul2K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Judul3">
    <w:name w:val="heading 3"/>
    <w:basedOn w:val="Normal"/>
    <w:next w:val="Normal"/>
    <w:link w:val="Judul3KAR"/>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Judul4">
    <w:name w:val="heading 4"/>
    <w:basedOn w:val="Normal"/>
    <w:next w:val="Normal"/>
    <w:link w:val="Judul4K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Judul9">
    <w:name w:val="heading 9"/>
    <w:basedOn w:val="Normal"/>
    <w:next w:val="Normal"/>
    <w:link w:val="Judul9K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styleId="Hyperlink">
    <w:name w:val="Hyperlink"/>
    <w:basedOn w:val="FontParagrafDefault"/>
    <w:uiPriority w:val="99"/>
    <w:unhideWhenUsed/>
    <w:qFormat/>
    <w:rPr>
      <w:color w:val="0563C1" w:themeColor="hyperlink"/>
      <w:u w:val="single"/>
    </w:rPr>
  </w:style>
  <w:style w:type="paragraph" w:styleId="Subjudul">
    <w:name w:val="Subtitle"/>
    <w:basedOn w:val="Normal"/>
    <w:next w:val="Normal"/>
    <w:link w:val="SubjudulKAR"/>
    <w:uiPriority w:val="11"/>
    <w:qFormat/>
    <w:rPr>
      <w:rFonts w:eastAsiaTheme="majorEastAsia" w:cstheme="majorBidi"/>
      <w:color w:val="595959" w:themeColor="text1" w:themeTint="A6"/>
      <w:spacing w:val="15"/>
      <w:sz w:val="28"/>
      <w:szCs w:val="28"/>
    </w:rPr>
  </w:style>
  <w:style w:type="paragraph" w:styleId="Judul">
    <w:name w:val="Title"/>
    <w:basedOn w:val="Normal"/>
    <w:next w:val="Normal"/>
    <w:link w:val="JudulK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1KAR">
    <w:name w:val="Judul 1 KAR"/>
    <w:basedOn w:val="FontParagrafDefault"/>
    <w:link w:val="Judul1"/>
    <w:uiPriority w:val="9"/>
    <w:qFormat/>
    <w:rPr>
      <w:rFonts w:asciiTheme="majorHAnsi" w:eastAsiaTheme="majorEastAsia" w:hAnsiTheme="majorHAnsi" w:cstheme="majorBidi"/>
      <w:color w:val="2F5496" w:themeColor="accent1" w:themeShade="BF"/>
      <w:sz w:val="40"/>
      <w:szCs w:val="40"/>
    </w:rPr>
  </w:style>
  <w:style w:type="character" w:customStyle="1" w:styleId="Judul2KAR">
    <w:name w:val="Judul 2 KAR"/>
    <w:basedOn w:val="FontParagrafDefault"/>
    <w:link w:val="Judul2"/>
    <w:uiPriority w:val="9"/>
    <w:semiHidden/>
    <w:qFormat/>
    <w:rPr>
      <w:rFonts w:asciiTheme="majorHAnsi" w:eastAsiaTheme="majorEastAsia" w:hAnsiTheme="majorHAnsi" w:cstheme="majorBidi"/>
      <w:color w:val="2F5496" w:themeColor="accent1" w:themeShade="BF"/>
      <w:sz w:val="32"/>
      <w:szCs w:val="32"/>
    </w:rPr>
  </w:style>
  <w:style w:type="character" w:customStyle="1" w:styleId="Judul3KAR">
    <w:name w:val="Judul 3 KAR"/>
    <w:basedOn w:val="FontParagrafDefault"/>
    <w:link w:val="Judul3"/>
    <w:uiPriority w:val="9"/>
    <w:semiHidden/>
    <w:qFormat/>
    <w:rPr>
      <w:rFonts w:eastAsiaTheme="majorEastAsia" w:cstheme="majorBidi"/>
      <w:color w:val="2F5496" w:themeColor="accent1" w:themeShade="BF"/>
      <w:sz w:val="28"/>
      <w:szCs w:val="28"/>
    </w:rPr>
  </w:style>
  <w:style w:type="character" w:customStyle="1" w:styleId="Judul4KAR">
    <w:name w:val="Judul 4 KAR"/>
    <w:basedOn w:val="FontParagrafDefault"/>
    <w:link w:val="Judul4"/>
    <w:uiPriority w:val="9"/>
    <w:semiHidden/>
    <w:qFormat/>
    <w:rPr>
      <w:rFonts w:eastAsiaTheme="majorEastAsia" w:cstheme="majorBidi"/>
      <w:i/>
      <w:iCs/>
      <w:color w:val="2F5496" w:themeColor="accent1" w:themeShade="BF"/>
    </w:rPr>
  </w:style>
  <w:style w:type="character" w:customStyle="1" w:styleId="Judul5KAR">
    <w:name w:val="Judul 5 KAR"/>
    <w:basedOn w:val="FontParagrafDefault"/>
    <w:link w:val="Judul5"/>
    <w:uiPriority w:val="9"/>
    <w:semiHidden/>
    <w:qFormat/>
    <w:rPr>
      <w:rFonts w:eastAsiaTheme="majorEastAsia" w:cstheme="majorBidi"/>
      <w:color w:val="2F5496" w:themeColor="accent1" w:themeShade="BF"/>
    </w:rPr>
  </w:style>
  <w:style w:type="character" w:customStyle="1" w:styleId="Judul6KAR">
    <w:name w:val="Judul 6 KAR"/>
    <w:basedOn w:val="FontParagrafDefault"/>
    <w:link w:val="Judul6"/>
    <w:uiPriority w:val="9"/>
    <w:semiHidden/>
    <w:qFormat/>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qFormat/>
    <w:rPr>
      <w:rFonts w:eastAsiaTheme="majorEastAsia" w:cstheme="majorBidi"/>
      <w:color w:val="595959" w:themeColor="text1" w:themeTint="A6"/>
    </w:rPr>
  </w:style>
  <w:style w:type="character" w:customStyle="1" w:styleId="Judul8KAR">
    <w:name w:val="Judul 8 KAR"/>
    <w:basedOn w:val="FontParagrafDefault"/>
    <w:link w:val="Judul8"/>
    <w:uiPriority w:val="9"/>
    <w:semiHidden/>
    <w:qFormat/>
    <w:rPr>
      <w:rFonts w:eastAsiaTheme="majorEastAsia" w:cstheme="majorBidi"/>
      <w:i/>
      <w:iCs/>
      <w:color w:val="262626" w:themeColor="text1" w:themeTint="D9"/>
    </w:rPr>
  </w:style>
  <w:style w:type="character" w:customStyle="1" w:styleId="Judul9KAR">
    <w:name w:val="Judul 9 KAR"/>
    <w:basedOn w:val="FontParagrafDefault"/>
    <w:link w:val="Judul9"/>
    <w:uiPriority w:val="9"/>
    <w:semiHidden/>
    <w:qFormat/>
    <w:rPr>
      <w:rFonts w:eastAsiaTheme="majorEastAsia" w:cstheme="majorBidi"/>
      <w:color w:val="262626" w:themeColor="text1" w:themeTint="D9"/>
    </w:rPr>
  </w:style>
  <w:style w:type="character" w:customStyle="1" w:styleId="JudulKAR">
    <w:name w:val="Judul KAR"/>
    <w:basedOn w:val="FontParagrafDefault"/>
    <w:link w:val="Judul"/>
    <w:uiPriority w:val="10"/>
    <w:qFormat/>
    <w:rPr>
      <w:rFonts w:asciiTheme="majorHAnsi" w:eastAsiaTheme="majorEastAsia" w:hAnsiTheme="majorHAnsi" w:cstheme="majorBidi"/>
      <w:spacing w:val="-10"/>
      <w:kern w:val="28"/>
      <w:sz w:val="56"/>
      <w:szCs w:val="56"/>
    </w:rPr>
  </w:style>
  <w:style w:type="character" w:customStyle="1" w:styleId="SubjudulKAR">
    <w:name w:val="Subjudul KAR"/>
    <w:basedOn w:val="FontParagrafDefault"/>
    <w:link w:val="Subjudul"/>
    <w:uiPriority w:val="11"/>
    <w:qFormat/>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pPr>
      <w:spacing w:before="160"/>
      <w:jc w:val="center"/>
    </w:pPr>
    <w:rPr>
      <w:i/>
      <w:iCs/>
      <w:color w:val="404040" w:themeColor="text1" w:themeTint="BF"/>
    </w:rPr>
  </w:style>
  <w:style w:type="character" w:customStyle="1" w:styleId="KutipanKAR">
    <w:name w:val="Kutipan KAR"/>
    <w:basedOn w:val="FontParagrafDefault"/>
    <w:link w:val="Kutipan"/>
    <w:uiPriority w:val="29"/>
    <w:qFormat/>
    <w:rPr>
      <w:i/>
      <w:iCs/>
      <w:color w:val="404040" w:themeColor="text1" w:themeTint="BF"/>
    </w:rPr>
  </w:style>
  <w:style w:type="paragraph" w:styleId="DaftarParagraf">
    <w:name w:val="List Paragraph"/>
    <w:basedOn w:val="Normal"/>
    <w:uiPriority w:val="34"/>
    <w:qFormat/>
    <w:pPr>
      <w:ind w:left="720"/>
      <w:contextualSpacing/>
    </w:pPr>
  </w:style>
  <w:style w:type="character" w:customStyle="1" w:styleId="PenekananKeras1">
    <w:name w:val="Penekanan Keras1"/>
    <w:basedOn w:val="FontParagrafDefault"/>
    <w:uiPriority w:val="21"/>
    <w:qFormat/>
    <w:rPr>
      <w:i/>
      <w:iCs/>
      <w:color w:val="2F5496" w:themeColor="accent1" w:themeShade="BF"/>
    </w:rPr>
  </w:style>
  <w:style w:type="paragraph" w:styleId="KutipanyangSering">
    <w:name w:val="Intense Quote"/>
    <w:basedOn w:val="Normal"/>
    <w:next w:val="Normal"/>
    <w:link w:val="KutipanyangSeringK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qFormat/>
    <w:rPr>
      <w:i/>
      <w:iCs/>
      <w:color w:val="2F5496" w:themeColor="accent1" w:themeShade="BF"/>
    </w:rPr>
  </w:style>
  <w:style w:type="character" w:customStyle="1" w:styleId="ReferensiyangSering1">
    <w:name w:val="Referensi yang Sering1"/>
    <w:basedOn w:val="FontParagrafDefault"/>
    <w:uiPriority w:val="32"/>
    <w:qFormat/>
    <w:rPr>
      <w:b/>
      <w:bCs/>
      <w:smallCaps/>
      <w:color w:val="2F5496" w:themeColor="accent1" w:themeShade="BF"/>
      <w:spacing w:val="5"/>
    </w:rPr>
  </w:style>
  <w:style w:type="character" w:customStyle="1" w:styleId="SebutanYangBelumTerselesaikan1">
    <w:name w:val="Sebutan Yang Belum Terselesaikan1"/>
    <w:basedOn w:val="FontParagrafDefault"/>
    <w:uiPriority w:val="99"/>
    <w:semiHidden/>
    <w:unhideWhenUsed/>
    <w:qFormat/>
    <w:rPr>
      <w:color w:val="605E5C"/>
      <w:shd w:val="clear" w:color="auto" w:fill="E1DFDD"/>
    </w:rPr>
  </w:style>
  <w:style w:type="paragraph" w:customStyle="1" w:styleId="Bibliografi1">
    <w:name w:val="Bibliografi1"/>
    <w:basedOn w:val="Normal"/>
    <w:next w:val="Normal"/>
    <w:uiPriority w:val="37"/>
    <w:unhideWhenUsed/>
    <w:qFormat/>
    <w:pPr>
      <w:spacing w:line="259" w:lineRule="auto"/>
    </w:pPr>
    <w:rPr>
      <w:sz w:val="22"/>
      <w:szCs w:val="22"/>
      <w:lang w:val="zh-CN"/>
    </w:rPr>
  </w:style>
  <w:style w:type="character" w:styleId="SebutanYangBelumTerselesaikan">
    <w:name w:val="Unresolved Mention"/>
    <w:basedOn w:val="FontParagrafDefault"/>
    <w:uiPriority w:val="99"/>
    <w:semiHidden/>
    <w:unhideWhenUsed/>
    <w:rsid w:val="00566E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7087264">
      <w:bodyDiv w:val="1"/>
      <w:marLeft w:val="0"/>
      <w:marRight w:val="0"/>
      <w:marTop w:val="0"/>
      <w:marBottom w:val="0"/>
      <w:divBdr>
        <w:top w:val="none" w:sz="0" w:space="0" w:color="auto"/>
        <w:left w:val="none" w:sz="0" w:space="0" w:color="auto"/>
        <w:bottom w:val="none" w:sz="0" w:space="0" w:color="auto"/>
        <w:right w:val="none" w:sz="0" w:space="0" w:color="auto"/>
      </w:divBdr>
    </w:div>
    <w:div w:id="17762886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sudin@zuhri.com.sg"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17</Pages>
  <Words>7716</Words>
  <Characters>45220</Characters>
  <Application>Microsoft Office Word</Application>
  <DocSecurity>0</DocSecurity>
  <Lines>636</Lines>
  <Paragraphs>145</Paragraphs>
  <ScaleCrop>false</ScaleCrop>
  <Company/>
  <LinksUpToDate>false</LinksUpToDate>
  <CharactersWithSpaces>52791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vivobook laptop</dc:creator>
  <cp:lastModifiedBy>Microsoft Office User</cp:lastModifiedBy>
  <cp:revision>5</cp:revision>
  <dcterms:created xsi:type="dcterms:W3CDTF">2025-06-29T05:08:00Z</dcterms:created>
  <dcterms:modified xsi:type="dcterms:W3CDTF">2025-07-15T07:47:00Z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1033-6.10.1.8203</vt:lpwstr>
  </property>
  <property fmtid="{D5CDD505-2E9C-101B-9397-08002B2CF9AE}" pid="3" name="ICV">
    <vt:lpwstr>8DA043983E60E55402E46C6827368AE3_42</vt:lpwstr>
  </property>
</Properties>
</file>